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2002 el Procurador don Antonio Barreiro-Meiro Barbero interpuso demanda de amparo, en nombre y representación de don Manuel Jiménez Catalán, contra la Sentencia de la Sala de lo Civil del Tribunal Supremo de 20 de septiembre de 2002, que estima el recurso de casación formulado contra la Sentencia de la Sección vigésimo segunda de la Audiencia Provincial de Madrid de 7 de diciembre de 1996 y, en consecuencia, se declara la filiación no matrimonial respecto del demandado y se ordenan las rectificaciones registrales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que la Sentencia de la Sala de lo Civil del Tribunal Supremo aquí impugnada vulnera el derecho a la tutela judicial efectiva (art. 24.1 CE) por valorar la prueba incurriendo en error patente y contradiciendo la jurisprudencia constitucional, así como el derecho a la igualdad (art. 14 CE). Así mismo, por medio de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22 de abril de 2004 la Sección Tercera de la Sala Segunda acordó, conforme al art. 50.3 LOTC, conceder plazo de diez días para alegaciones al demandante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julio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don Antonio Barreiro-Meiro Barbero presentó escrito en este Tribunal, registrado el 20 de julio de 2004, en el que formula sus alegaciones en relación con el incidente de suspensión, aduciendo que la ejecución de la resolución judicial impugnada en amparo, supondría un cambio de estado del menor y ocasionaría al demandante perjuicios como consecuencia de la modificación de la situación paterno-filial del actor, que sería inscrito como progenitor del menor con efectos frente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en escrito registrado el 21 de julio de 2004, tras hacer referencia a la excepcionalidad de la medida cautelar de suspensión, se opone a la suspensión solicitada, al no acreditar que la ejecución le ocasione un perjuicio irreparable, sin que pueda considerarse que la falta de suspensión le ocasione un perjuicio que haga perder al amparo su finalidad, ya que consistiendo la ejecución de la Sentencia recurrida en amparo en el establecimiento de una relación paterno-filial, el contenido de esa relación, que se traduce en su reflejo en el Registro Civil y en el ejercicio de derechos y el cumplimiento de obligaciones que constituyen su contenido, admite sin dificultad su restitución al estado anterior al de su ejecución en el caso de que se otorgara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sea tardío e impida definitivamente que tal restauración sea efectiva (AATC 10/2004, de 12 de enero y 36/2004, de 9 de febrero,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ante todo en el juego de los intereses contrapuestos en orden a la inmediata eficacia de la Sentencia recurrida o a su suspensión, ha de tenerse en cuenta que en tal juego el interés del menor debe considerarse preferente, lo que en principio supone que salvo que tal interés deba supeditarse a exigencias de tutela cautelar del demandante que impongan la suspensión, en cuanto a ésta ha de estarse a la aplicación de la doctrina que acaba de exponerse, lo que conduce a la denegación de la suspensión solicitada, pues, siendo excepcional acordar la suspensión en amparo y siendo carga del recurrente acreditar que la ausencia de suspensión privaría de finalidad al amparo conforme a la doctrina antes expresada, en el presente caso el recurrente no ha cumplido con la carga que le corresponde. En efecto, como advierte el Ministerio Fiscal, en este caso no puede considerarse que la falta de suspensión le ocasione un perjuicio que haga perder al amparo su finalidad, ya que al consistir la ejecución de la Sentencia recurrida en amparo en el establecimiento de una relación paterno-filial, con el conjunto de derechos y obligaciones que constituyen su contenido, así como en su reflejo en el Registro Civil, cabe sin dificultad su restitución al estado anterior al de su ejecución en el caso de que se otorgara el amparo mediante la eventual extinción de la relación jurídica declarada y la correspondiente cancelación de los asientos registrales correspondientes, y ello aunque no pueda negarse de principio la eventual proclamación en el interés de perjuicios no patrimoniales de difícil reparación, que, en todo caso, no harían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 respecto de la ejecución de la sentencia dictada el 20 de septiembre de 2002 por la Sala de lo Civil del Tribunal Supremo en el recurso de casación núm. 506/97.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