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13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25 de octubre de 2002 el Procurador don Antonio Barreiro-Meiro Barbero interpuso demanda de amparo, en nombre y representación de don Manuel Jiménez Catalán, contra la Sentencia de la Sala de lo Civil del Tribunal Supremo de 20 de septiembre de 2002, que estima el recurso de casación formulado contra la Sentencia de la Sección vigésimo segunda de la Audiencia Provincial de Madrid de 7 de diciembre de 1996 y, en consecuencia, se declara la filiación no matrimonial respecto del demandado y se ordenan las rectificaciones registrales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la Sentencia de la Sala de lo Civil del Tribunal Supremo aquí impugnada vulnera el derecho a la tutela judicial efectiva (art. 24.1 CE) por valorar la prueba incurriendo en error patente y contradiciendo la jurisprudencia constitucional, así como el derecho a la igualdad (art. 14 CE). Así mismo, por medio de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22 de abril de 2004 la Sección Tercera de la Sala Segunda acordó, conforme al art. 50.3 LOTC, conceder plazo de diez días para alegaciones al demandante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julio de 2004 la Sala Segunda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Sala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Procurador don Antonio Barreiro-Meiro Barbero presentó escrito en este Tribunal, registrado el 20 de julio de 2004, en el que formula sus alegaciones en relación con el incidente de suspensión, aduciendo que la ejecución de la resolución judicial impugnada en amparo, supondría un cambio de estado del menor y ocasionaría al demandante perjuicios como consecuencia de la modificación de la situación paterno-filial del actor, que sería inscrito como progenitor del menor con efectos frente 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Fiscal en escrito registrado el 21 de julio de 2004, tras hacer referencia a la excepcionalidad de la medida cautelar de suspensión, se opone a la suspensión solicitada, al no acreditar que la ejecución le ocasione un perjuicio irreparable, sin que pueda considerarse que la falta de suspensión le ocasione un perjuicio que haga perder al amparo su finalidad, ya que consistiendo la ejecución de la Sentencia recurrida en amparo en el establecimiento de una relación paterno-filial, el contenido de esa relación, que se traduce en su reflejo en el Registro Civil y en el ejercicio de derechos y el cumplimiento de obligaciones que constituyen su contenido, admite sin dificultad su restitución al estado anterior al de su ejecución en el caso de que se otorgara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Es el potencial perjudicado quien ha de justificar el riesgo o peligro de perjuicio, pues, aunque la viabilidad de la demanda sirva para apreciar una inicial apariencia de buen derecho de las pretensiones en ella contenidas, también se requiere la justificación de un riesgo o peligro de que, de no acordarse la suspensión de la ejecución de la resolución impugnada en amparo, se ocasionaría al demandante un perjuicio que haría perder al amparo su finalidad. En este sentido, hemos entendido que sólo hay peligro o riesgo de perjuicio irreparable cuando la ejecución prevista del acto recurrido pueda provocar que el posterior y eventual restablecimiento del recurrente en el derecho constitucional vulnerado, en el supuesto de que el amparo sea otorgado, sea tardío e impida definitivamente que tal restauración sea efectiva (AATC 10/2004, de 12 de enero y 36/2004, de 9 de febrero,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ante todo en el juego de los intereses contrapuestos en orden a la inmediata eficacia de la Sentencia recurrida o a su suspensión, ha de tenerse en cuenta que en tal juego el interés del menor debe considerarse preferente, lo que en principio supone que salvo que tal interés deba supeditarse a exigencias de tutela cautelar del demandante que impongan la suspensión, en cuanto a ésta ha de estarse a la aplicación de la doctrina que acaba de exponerse, lo que conduce a la denegación de la suspensión solicitada, pues, siendo excepcional acordar la suspensión en amparo y siendo carga del recurrente acreditar que la ausencia de suspensión privaría de finalidad al amparo conforme a la doctrina antes expresada, en el presente caso el recurrente no ha cumplido con la carga que le corresponde. En efecto, como advierte el Ministerio Fiscal, en este caso no puede considerarse que la falta de suspensión le ocasione un perjuicio que haga perder al amparo su finalidad, ya que al consistir la ejecución de la Sentencia recurrida en amparo en el establecimiento de una relación paterno-filial, con el conjunto de derechos y obligaciones que constituyen su contenido, así como en su reflejo en el Registro Civil, cabe sin dificultad su restitución al estado anterior al de su ejecución en el caso de que se otorgara el amparo mediante la eventual extinción de la relación jurídica declarada y la correspondiente cancelación de los asientos registrales correspondientes, y ello aunque no pueda negarse de principio la eventual proclamación en el interés de perjuicios no patrimoniales de difícil reparación, que, en todo caso, no harían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suspensión solicitada respecto de la ejecución de la sentencia dictada el 20 de septiembre de 2002 por la Sala de lo Civil del Tribunal Supremo en el recurso de casación núm. 506/97.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