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11 de abril de 2000, el Abogado del Estado, en la representación que legalmente ostenta, promueve, de modo directo, conflicto positivo de competencia contra los arts. 16.1, e), inciso “técnicas”; 19.1, primer párrafo y disposición transitoria única, 4, del Decreto de la Junta de Comunidades de Castilla-La Mancha 54/2000, de 21 de marzo, sobre el régimen jurídico de las televisiones locales por ondas terrestres.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Segunda de 3 de mayo de 2000, el Letrado de la Junta de Comunidades de Castilla-La Mancha formuló alegaciones mediante escrito registrado el día 1 de junio de 2000, suplicando que se dicte Sentencia en la que desestime el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junio de 2004, la Sección Tercera acordó incorporar a los autos el escrito del Abogado del Estado y oír a la representación procesal de la Junta de Comunidades de Castilla-La Mancha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Junta de Comunidades de Castilla-La Mancha no ha formulado alegaciones sobre el desistimiento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43/2004, de</w:t>
      </w:r>
    </w:p>
    <w:p w:rsidRPr="00C21FFE" w:rsidR="00AD51A7" w:rsidRDefault="008777C4">
      <w:pPr>
        <w:rPr/>
      </w:pPr>
      <w:r w:rsidRPr="&lt;w:rPr xmlns:w=&quot;http://schemas.openxmlformats.org/wordprocessingml/2006/main&quot;&gt;&lt;w:lang w:val=&quot;es-ES_tradnl&quot; /&gt;&lt;/w:rPr&gt;">
        <w:rPr/>
        <w:t xml:space="preserve">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Junta de Comunidades de Castilla-La Mancha no ha planteado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2122-2000, planteado en relación con los arts. 16.1, e), inciso “técnicas”; 19.1, primer párrafo y disposición transitoria</w:t>
      </w:r>
    </w:p>
    <w:p w:rsidRPr="" w:rsidR="00AD51A7" w:rsidRDefault="008777C4">
      <w:pPr>
        <w:rPr/>
      </w:pPr>
      <w:r w:rsidRPr="&lt;w:rPr xmlns:w=&quot;http://schemas.openxmlformats.org/wordprocessingml/2006/main&quot;&gt;&lt;w:szCs w:val=&quot;24&quot; /&gt;&lt;/w:rPr&gt;">
        <w:rPr/>
        <w:t xml:space="preserve">única, 4, del Decreto de la Junta de Comunidades de Castilla-La Mancha 54/2000, de 21 de marzo, sobre el régimen jurídico de las televisiones locales por ondas terrestres,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