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enero de 2004, el Letrado del Gobierno de Aragón, en la representación que legalmente ostenta, promueve conflicto positivo de competencia contra la certificación de la Dirección General de Conservación de la Naturaleza del Ministerio de Medio Ambiente, de 29 de septiembre de 2003, sobre afección de los proyectos y actuaciones a la conservación de la diversidad en zonas de especial conservación y en zonas de especial protección de las aves, expedida en relación con el Proyecto de obra “Autovía de Levante a Francia por Aragón, CN-234 de Sagunto a Burgos, tramo Teruel (Norte)-Santa Eulalia del Campo (Aragón).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Cuarta de 10 de febrero de 2004, el Abogado del estado formuló alegaciones mediante escrito registrado el día 20 de febrero de 2004, suplicando que se dictara Sentencia en la que se declarase la desestimación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noviembre de 2004, la Sección Tercera acordó incorporar a los autos el escrito del Letrado del Gobierno de Aragón y oír al Abogado del Estado para que, en el plazo de diez días, exponga lo que considere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diciembre de 2004, el Abogado del Estado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El Letrado del Gobierno de Aragón, debidamente autorizado, según certificación del Acuerdo adoptado al efecto por dicho de Gobierno, pide que se le tenga por desistido del presente conflicto positivo de competencia. El Abogado del Estado no plantea</w:t>
      </w:r>
    </w:p>
    <w:p w:rsidRPr="00810A1A" w:rsidR="00AD51A7" w:rsidRDefault="008777C4">
      <w:pPr>
        <w:rPr/>
      </w:pPr>
      <w:r w:rsidRPr="&lt;w:rPr xmlns:w=&quot;http://schemas.openxmlformats.org/wordprocessingml/2006/main&quot;&gt;&lt;w:szCs w:val=&quot;24&quot; /&gt;&lt;w:lang w:val=&quot;es-ES_tradnl&quot; /&gt;&lt;/w:rPr&gt;">
        <w:rPr/>
        <w:t xml:space="preserve">objeción alguna al desistimiento formulado, sin que se advierta interés constitucional que aconseje la prosecución del conflicto hasta su finalización por Sentencia.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Aragón, en la representación que legalmente ostenta, del conflicto positivo de competencia núm. 421-2004, planteado en relación con la certificación de la Dirección General de Conservación de la Naturaleza</w:t>
      </w:r>
    </w:p>
    <w:p w:rsidRPr="" w:rsidR="00AD51A7" w:rsidRDefault="008777C4">
      <w:pPr>
        <w:rPr/>
      </w:pPr>
      <w:r w:rsidRPr="&lt;w:rPr xmlns:w=&quot;http://schemas.openxmlformats.org/wordprocessingml/2006/main&quot;&gt;&lt;w:szCs w:val=&quot;24&quot; /&gt;&lt;/w:rPr&gt;">
        <w:rPr/>
        <w:t xml:space="preserve">del Ministerio de Medio Ambiente, de 29 de septiembre de 2003, sobre afección de los proyectos y actuaciones a la conservación de la diversidad en zonas de especial conservación y en zonas de especial protección de las aves, expedida en relación con el</w:t>
      </w:r>
    </w:p>
    <w:p w:rsidRPr="" w:rsidR="00AD51A7" w:rsidRDefault="008777C4">
      <w:pPr>
        <w:rPr/>
      </w:pPr>
      <w:r w:rsidRPr="&lt;w:rPr xmlns:w=&quot;http://schemas.openxmlformats.org/wordprocessingml/2006/main&quot;&gt;&lt;w:szCs w:val=&quot;24&quot; /&gt;&lt;/w:rPr&gt;">
        <w:rPr/>
        <w:t xml:space="preserve">proyecto de obra “Autovía de Levante a Francia por Aragón, CN-234 de Sagunto a Burgos, tramo Teruel (Norte)-Santa Eulalia del Campo (Aragón)”,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veintiuno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