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marzo de 2003 fue registrado en este Tribunal oficio de fecha 25 de febrero de 2003, remitido por la Sala de lo Contencioso-Administrativo (Sección Segunda) del Tribunal Superior de Justicia del País Vasco, al que se adjuntaba, entre otros testimonios, el del Auto del mismo órgano judicial, de 23 de enero de 2003,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AD51A7" w:rsidRDefault="008777C4">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 inconstitucionalidad deriva del recurso contencioso-administrativo interpuesto por doña María Jesús Dendariarena Gutiérrez y otros contra la Resolución del Jurado Territorial de Expropiación Forzosa de Vizcaya de 18 de febrero de 1997, por la que se fijó el justiprecio de la finca núm. 32 afectada por el proyecto de expropiación del sistema general viario de prolongación de la calle Ibarra. </w:t>
      </w:r>
    </w:p>
    <w:p w:rsidRPr="00C21FFE" w:rsidR="00AD51A7" w:rsidRDefault="008777C4">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 Administrativo del Tribunal Superior de Justicia del País Vasco dictó providencia de 14 de enero de 2002,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–por la STC 61/1997, de 20 de marzo— art. 27 del texto refundido de la Ley sobre el régimen del suelo y ordenación urbana, aprobado por Real Decreto Legislativo 1/1992, de 26 de junio (TRLS de 1992), pero incompatible con lo dispuesto en el texto refundido de la Ley sobre régimen del suelo y ordenación urbana, aprobado por Real Decreto 1346/1976, de 9 de abril (TRLS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art. 11 de la Ley vasca 17/1994 es la norma aplicable al caso sobre el que debe resolverse, dado que la valoración hay que referirla a marzo de 1996; y que de la constitucionalidad de dicho precepto depende el fallo, pues el justiprecio debe determinarse por el método del valor residual, lo que exige tener en cuenta el aprovechamiento patrimonializable, que es distinto en la legislación vasca y en la estatal. </w:t>
      </w:r>
    </w:p>
    <w:p w:rsidRPr="00C21FFE" w:rsidR="00AD51A7" w:rsidRDefault="008777C4">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TRLS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TRLS de 1976. </w:t>
      </w:r>
    </w:p>
    <w:p w:rsidRPr="00C21FFE" w:rsidR="00AD51A7" w:rsidRDefault="008777C4">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diciembre de 2004 la Sección Segunda de este Tribunal acordó, conforme a lo dispuesto en el art. 37.1 LOTC, oír al Fiscal General del Estado para que alegara lo que considerara conveniente sobre la posible causa de inadmisión de la cuestión consistente en haber devenido notoriamente infundada como consecuencia de los pronunciamientos contenidos en la STC 178/2004, de 21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el 21 de diciembre de 2004. Tras la cita del fundamento jurídico 11 de la STC 178/2004, en el que se declara que en 1997, cuando fue dictada la Ley vasca 3/1997, su artículo único no era contrario a ninguna condición básica estatal, interesa el Fiscal que se inadmita la presente cuestión por haber devenido notoriamente infundada una vez publicada la STC 178/2004, de 21 de octubre, dado que esa misma doctrina sería aplicable al precepto cuestionado de la Ley vasca 17/1994.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 11 de la Ley del Parlamento Vasco 17/1994, de 30 de junio, de medidas</w:t>
      </w:r>
    </w:p>
    <w:p w:rsidRPr="00C21FFE" w:rsidR="00AD51A7" w:rsidRDefault="008777C4">
      <w:pPr>
        <w:rPr/>
      </w:pPr>
      <w:r w:rsidRPr="&lt;w:rPr xmlns:w=&quot;http://schemas.openxmlformats.org/wordprocessingml/2006/main&quot;&gt;&lt;w:lang w:val=&quot;es-ES_tradnl&quot; /&gt;&lt;/w:rPr&gt;">
        <w:rPr/>
        <w:t xml:space="preserve">urgentes en materia de vivienda, de tramitación de los instrumentos de planeamiento y gestión urbanística, que regula el porcentaje de cesión y patrimonialización de aprovechamiento urbanístico de los propietarios de suelo urbano en los Municipios del</w:t>
      </w:r>
    </w:p>
    <w:p w:rsidRPr="00C21FFE" w:rsidR="00AD51A7" w:rsidRDefault="008777C4">
      <w:pPr>
        <w:rPr/>
      </w:pPr>
      <w:r w:rsidRPr="&lt;w:rPr xmlns:w=&quot;http://schemas.openxmlformats.org/wordprocessingml/2006/main&quot;&gt;&lt;w:lang w:val=&quot;es-ES_tradnl&quot; /&gt;&lt;/w:rPr&gt;">
        <w:rPr/>
        <w:t xml:space="preserve">País Vasco. Suscita el mencionado órgano judicial, en síntesis, la duda de si es constitucionalmente posible una regulación como la del precepto legal vasco sin que exista una norma del Estado que, en ejercicio de la competencia estatal del art.  149.1.1</w:t>
      </w:r>
    </w:p>
    <w:p w:rsidRPr="00C21FFE" w:rsidR="00AD51A7" w:rsidRDefault="008777C4">
      <w:pPr>
        <w:rPr/>
      </w:pPr>
      <w:r w:rsidRPr="&lt;w:rPr xmlns:w=&quot;http://schemas.openxmlformats.org/wordprocessingml/2006/main&quot;&gt;&lt;w:lang w:val=&quot;es-ES_tradnl&quot; /&gt;&lt;/w:rPr&gt;">
        <w:rPr/>
        <w:t xml:space="preserve">CE, establezca, no ya los límites de la cesión de aprovechamiento en suelo urbano, sino la misma obligatoriedad de esa cesión en dicha clase de suelo, que no estaba prevista en el texto refundido de la Ley sobre régimen del suelo y ordenación urbana,</w:t>
      </w:r>
    </w:p>
    <w:p w:rsidRPr="00C21FFE" w:rsidR="00AD51A7" w:rsidRDefault="008777C4">
      <w:pPr>
        <w:rPr/>
      </w:pPr>
      <w:r w:rsidRPr="&lt;w:rPr xmlns:w=&quot;http://schemas.openxmlformats.org/wordprocessingml/2006/main&quot;&gt;&lt;w:lang w:val=&quot;es-ES_tradnl&quot; /&gt;&lt;/w:rPr&gt;">
        <w:rPr/>
        <w:t xml:space="preserve">aprobado por Real Decreto 1346/1976, de 9 de abril.</w:t>
      </w:r>
    </w:p>
    <w:p w:rsidRPr="00C21FFE" w:rsidR="00AD51A7" w:rsidRDefault="008777C4">
      <w:pPr>
        <w:rPr/>
      </w:pPr>
      <w:r w:rsidRPr="&lt;w:rPr xmlns:w=&quot;http://schemas.openxmlformats.org/wordprocessingml/2006/main&quot;&gt;&lt;w:lang w:val=&quot;es-ES_tradnl&quot; /&gt;&lt;/w:rPr&gt;">
        <w:rPr/>
        <w:t xml:space="preserve">Como ha declarado la STC 205/2004, de 18 de noviembre –y otras dictadas por el Pleno de este Tribunal en la misma fecha—, “la cuestión, planteada en idénticos términos,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w:t>
      </w:r>
    </w:p>
    <w:p w:rsidRPr="00C21FFE" w:rsidR="00AD51A7" w:rsidRDefault="008777C4">
      <w:pPr>
        <w:rPr/>
      </w:pPr>
      <w:r w:rsidRPr="&lt;w:rPr xmlns:w=&quot;http://schemas.openxmlformats.org/wordprocessingml/2006/main&quot;&gt;&lt;w:lang w:val=&quot;es-ES_tradnl&quot; /&gt;&lt;/w:rPr&gt;">
        <w:rPr/>
        <w:t xml:space="preserve">Debe declararse, por tanto, por la vía prevista en el art. 37.1 LOTC –conforme interesa el Fiscal General del Estado— que la duda de constitucionalidad que suscita el órgano judicial ha devenido, tras los mencionados pronunciamientos de este Tribunal sobre aquélla,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1275-2003.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