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29 de marzo de 2003, el Procurador de los Tribunales don Paulino Rodríguez Peñamaría, interpuso, en nombre de don Luis Silveira Cabanas, recurso de amparo contra la Sentencia de 12 de junio de 2001 de la Sección Segunda de la Audiencia Provincial de Santa Cruz de Tenerife y contra la Sentencia de 10 de febrero de 2003 de la Sala de lo Penal del Tribunal Supremo en virtud de la cual, y previa revocación parcial de la anterior, resultó condenado, como autor de un delito de contra la salud pública (art. 368 CP) de sustancia que causa grave daño a la salud, en grado de tentativa, a las penas de dos años de prisión, accesoria legal de inhabilitación especial para el derecho de sufragio pasivo por el tiempo de la condena, multa de cinco millones de pesetas y al pago de un tercio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al secreto de las comunicaciones postales (art. 18.3 CE) y al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noviembre de 2004, la Sección Segunda acordó admitir a trámite la demanda de amparo, y, de conformidad con lo previsto en el art. 56 LOTC, abrir pieza separada de suspensión y conceder un plazo común de tres días, al Ministerio Fiscal y a la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29 de noviembre de 2004, el Ministerio Fiscal interesó la suspensión de la Resolución en lo atinente a la pena de prisión de dos años, en atención a la reiterada doctrina de este Tribunal y para evitar que en caso de estimarse la demanda el amparo perdiera su finalidad, dado no solo la duración de la pena impuesta sino el dato de haber estado ya ocho meses en prisión preventiva, por lo que solo le restaría por cumplir dieciséis meses de prisión. Asimismo interesa la suspensión de la Resolución en lo que afecta a la accesoria de inhabilitación especial, dado que, conforme a la jurisprudencia de este Tribunal, siguen la suerte de la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 de diciembre de 2004, la representación de la demandante de amparo razonó sobre la procedencia de la suspensión interesada afirmando que la suspensión no ocasionaría perturbación grave de los intereses generales frente a los perjuicios irreparables que la ejecución de la Resolución le produciría, dado que ya ha cumplido ocho meses de prisión preventiva.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de la Resolución en relación con la pena privativa de libertad impuesta de prisión de dos años, la accesoria de inhabilitación especial, la multa y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pena de multa impuesta y la condena en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Respecto de condenas a penas privativas de libertad de cinco años o de duración inferior,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w:t>
      </w:r>
    </w:p>
    <w:p w:rsidRPr="00C21FFE" w:rsidR="00AD51A7" w:rsidRDefault="008777C4">
      <w:pPr>
        <w:rPr/>
      </w:pPr>
      <w:r w:rsidRPr="&lt;w:rPr xmlns:w=&quot;http://schemas.openxmlformats.org/wordprocessingml/2006/main&quot;&gt;&lt;w:lang w:val=&quot;es-ES_tradnl&quot; /&gt;&lt;/w:rPr&gt;">
        <w:rPr/>
        <w:t xml:space="preserve">Aplicada la doctrina expuesta al presente caso procede la suspensión solicitada en lo atinente a la pena de prisión de dos años impuesta, pues, de un lado, como señala el Ministerio Fiscal, dicha magnitud refleja que no estamos ante un hecho grave, y, de otro, en la medida en que el recurrente ha estado ocho meses en prisión preventiva, la ponderación del tiempo de prisión que le resta por cumplir y la previsible duración del proceso de amparo hace temer que el amparo, en caso de otorgarse, hubiera perdido entonces su finalidad (por todos, ATC 469/2004).</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Sala de lo Penal del Tribunal Supremo de 10 de febrero de 2003 exclusivamente en lo atinente a las penas impuestas de dos años de prisión y accesoria de inhabilitación especial para el derecho de sufragio</w:t>
      </w:r>
    </w:p>
    <w:p w:rsidRPr="" w:rsidR="00AD51A7" w:rsidRDefault="008777C4">
      <w:pPr>
        <w:rPr/>
      </w:pPr>
      <w:r w:rsidRPr="&lt;w:rPr xmlns:w=&quot;http://schemas.openxmlformats.org/wordprocessingml/2006/main&quot;&gt;&lt;w:szCs w:val=&quot;24&quot; /&gt;&lt;/w:rPr&gt;">
        <w:rPr/>
        <w:t xml:space="preserve">pasivo.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