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junio de 1998 tuvo entrada en este Tribunal un escrito del Letrado de la Junta de Andalucía mediante el cual, en la representación que ostenta, planteó conflicto positivo de competencia frente a varios Acuerdos de la Secretaría General de Comunicaciones del Ministerio de Fomento de 19 de enero y 13 de febrero de 1998, sobre incoación de expedientes sancionadores, y Resoluciones de 28 de febrero de 1998 del Ministerio de Fomento por las que se resuelven expedientes sancionadores.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Segunda de 30 de junio de 1998, el Abogado del Estado formuló sus alegaciones mediante escrito de 22 de julio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12 de enero de 2005 la Letrada de la Junta de Andalucía presenta en este Tribunal un escrito en el que expuso que, debidamente autorizada en virtud de Acuerdo del Consejo de Gobierno de 28 de diciembre de 2004, solicitaba, al amparo de lo establecido en el art. 86 LOTC en conexión con el art. 80 de la misma Ley, tener por desistido al Consejo de Gobierno de la Junta de Andalucía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 de febrero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febrero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la tenga por desistida del presente conflicto positivo de competencia.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a la Letrada de la Junta de Andalucía, en la representación que legalmente ostenta, del conflicto positivo de competencia núm. 2741-1998, planteado en relación varios Acuerdos de la Secretaría General de Comunicaciones del Ministerio de Fomento de 19 de enero y 13 de febrero de 1998, sobre incoación de expedientes sancionadores, y Resoluciones de 28 de febrero de 1998 del Ministerio de Fomento por las que se resuelven expedientes sancionadores,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uno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