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marzo de 2005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>1. Único. En el presente procedimiento de amparo, núm. 5475-2000, la Sala Primera de este Tribunal dictó Sentencia el 14 de febrero de 2005. Del fundamento jurídico 2 de la misma resulta la procedencia de suprimir la mención que en el último párrafo del fundamento jurídico 5 se hace al Auto de la Sección Primera de la Audiencia Provincial de Badajoz, de 13 de septiembre de 2000.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El art. 267.3 de la Ley Orgánica del Poder Judicial, aplicable supletoriamente a esta jurisdicción constitucional (ex art. 80 LOTC), determina que los errores materiales manifiestos y los aritméticos en que incurran las resoluciones judiciales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podrán ser rectificados en cualquier momento.  En el presente caso, de la lectura del fundamento jurídico 2 de la Sentencia de 14 de febrero de 2005, dictada en el presente recurso de amparo núm. 5475-2000, se evidencia la necesidad de suprimir del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último párrafo de su fundamento jurídico 5 la mención al Auto de la Sección Primera de la Audiencia Provincial de Badajoz, 13 de septiembre de 2000, debiendo quedar redactado como sigue: “En atención a cuanto antecede procede estimar la demanda de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amparo, reconociendo que se ha vulnerado el derecho a la tutela judicial efectiva de la demandante, en su dimensión de derecho a la intangibilidad, invariabilidad o inmodificabilidad de las resoluciones judiciales firmes, y, en su consecuencia, debemos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declarar la nulidad de la resolución dictada por la Sección Primera de la Audiencia Provincial de Badajoz con posterioridad a la Sentencia recaída el 2 de febrero de 2000 en el rollo de apelación 18-2000, esto es, la Sentencia de 15 de mayo de 2000”.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Rectificar el error material manifiesto de la Sentencia de 14 de febrero de 2005, dictada en el recurso de amparo núm. 5475-2000, suprimiendo del último párrafo de su fundamento jurídico 5 la mención al Auto de la Sección Primera de la Audiencia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Provincial de Badajoz, 13 de septiembre de 2000, de acuerdo con el tenor del fundamento jurídico único de la presente resolución.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diez de marzo de dos mil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