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agosto de 2000 tuvo entrada en el Registro de este Tribunal un escrito de la Sección Novena de la Sala de lo Contencioso-Administrativo del Tribunal Superior de Justicia de Madrid al que se adjuntaba testimonio del recurso contencioso-administrativo núm. 702/95 y Auto de 21 de julio de 2000 por el que se acuerda plantear cuestión de inconstitucionalidad en relación con la Ley de la Comunidad de Madrid 4/1994, 6 de junio, de calendario y horario comerciales, por posible infracción de los arts. 149.1.13ª y 149.3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Don Luis Maganto de Pablo, titular del establecimiento comercial “El Búho II”, interpuso recurso contencioso-administrativo contra una sanción de multa de 50.000 pesetas impuesta por la Comunidad de Madrid por apertura de establecimiento en domingo o festivo no autorizado, constitutiva —con arreglo al art. 10 de la Ley de la Comunidad de Madrid 4/1994, 6 de junio, de Calendario y Horario Comerciales— de una infracción muy grave a lo dispuesto en el art. 3 de dicha Ley autonómica, en relación con los arts. 1 y 2 del Decreto 64/1994, 23 de junio, por el que, en desarrollo de aquella Ley, se establecen los días en los que se autoriza la apertura en domingos y festivos de los establecimiento comerciales para el año 1994. </w:t>
      </w:r>
    </w:p>
    <w:p w:rsidRPr="00C21FFE" w:rsidR="00AD51A7" w:rsidRDefault="008777C4">
      <w:pPr>
        <w:rPr/>
      </w:pPr>
      <w:r w:rsidRPr="&lt;w:rPr xmlns:w=&quot;http://schemas.openxmlformats.org/wordprocessingml/2006/main&quot;&gt;&lt;w:lang w:val=&quot;es-ES_tradnl&quot; /&gt;&lt;/w:rPr&gt;">
        <w:rPr/>
        <w:t xml:space="preserve">b) Concluso el procedimiento y en trámite de dictar Sentencia, la Sección Novena, mediante providencia de 16 de mayo de 2000, acordó requerir a las partes y al Ministerio Fiscal para que presentaran alegaciones sobre la pertinencia de plantear cuestión ante este Tribunal. </w:t>
      </w:r>
    </w:p>
    <w:p w:rsidRPr="00C21FFE" w:rsidR="00AD51A7" w:rsidRDefault="008777C4">
      <w:pPr>
        <w:rPr/>
      </w:pPr>
      <w:r w:rsidRPr="&lt;w:rPr xmlns:w=&quot;http://schemas.openxmlformats.org/wordprocessingml/2006/main&quot;&gt;&lt;w:lang w:val=&quot;es-ES_tradnl&quot; /&gt;&lt;/w:rPr&gt;">
        <w:rPr/>
        <w:t xml:space="preserve">c) La Comunidad de Madrid no hizo alegaciones; la recurrente interesó su planteamiento y el Ministerio Fiscal no se opuso al mismo. </w:t>
      </w:r>
    </w:p>
    <w:p w:rsidRPr="00C21FFE" w:rsidR="00AD51A7" w:rsidRDefault="008777C4">
      <w:pPr>
        <w:rPr/>
      </w:pPr>
      <w:r w:rsidRPr="&lt;w:rPr xmlns:w=&quot;http://schemas.openxmlformats.org/wordprocessingml/2006/main&quot;&gt;&lt;w:lang w:val=&quot;es-ES_tradnl&quot; /&gt;&lt;/w:rPr&gt;">
        <w:rPr/>
        <w:t xml:space="preserve">d) Evacuadas las alegaciones de las partes, el órgano judicial, por Auto de 21 de julio de 2000, acordó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7 de julio. Con independencia de que la ampliación de las competencias de la Comunidad Autónoma, realizada por esta última Ley Orgánica, haya supuesto la subsanación de esa incompetencia inicial, lo cierto es que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 2001, la Sección Primera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 de febrero de 2001, el Vicepresidente primero del Senado comunicó al Tribunal que dicha Cámara se persona en el proceso y ofreció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7 de febrero de 2001, el Presidente del Congreso de los Diputados comunicó al Tribunal que la Cámara no se personará en el proceso ni hará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8 de febrero de 2001, el Letrado de la Comunidad de Madrid compareció en el proceso en representación de su Gobierno y formuló alegaciones. </w:t>
      </w:r>
    </w:p>
    <w:p w:rsidRPr="00C21FFE" w:rsidR="00AD51A7" w:rsidRDefault="008777C4">
      <w:pPr>
        <w:rPr/>
      </w:pPr>
      <w:r w:rsidRPr="&lt;w:rPr xmlns:w=&quot;http://schemas.openxmlformats.org/wordprocessingml/2006/main&quot;&gt;&lt;w:lang w:val=&quot;es-ES_tradnl&quot; /&gt;&lt;/w:rPr&gt;">
        <w:rPr/>
        <w:t xml:space="preserve">En las mismas rechazó el planteamiento realizado por el órgano judicial cuestionante de que la Ley 4/1994 se incardine, desde la perspectiva del orden constitucional de competencias, en la materia de “comercio interior”. La Ley 4/1994, objeto de la cuestión de inconstitucionalidad,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8 de febrero de 2001, el Abogado del Estado, en la representación que ostenta, presentó sus alegaciones en el Tribunal. </w:t>
      </w:r>
    </w:p>
    <w:p w:rsidRPr="00C21FFE" w:rsidR="00AD51A7" w:rsidRDefault="008777C4">
      <w:pPr>
        <w:rPr/>
      </w:pPr>
      <w:r w:rsidRPr="&lt;w:rPr xmlns:w=&quot;http://schemas.openxmlformats.org/wordprocessingml/2006/main&quot;&gt;&lt;w:lang w:val=&quot;es-ES_tradnl&quot; /&gt;&lt;/w:rPr&gt;">
        <w:rPr/>
        <w:t xml:space="preserve">En las mismas sostiene que la Comunidad de Madrid carecía de competencia legislativa en materia de “comercio interior” en el momento de aprobarse la Ley 4/1994 pues su competencia estatutaria se limitaba a la de ejecución (art. 28.3 EACM). Puesto que los horarios comerciales se inscriben en el ámbito del “comercio interior”, ello conlleva que la aprobación de dicha Ley haya supuesto la infracción de los art. 149.3 CE y 28.3 EACM, solicitando por todo ello que se declaren inconstitucionales los arts. 10.1, 11.1 c) y 14.2 de la Ley 4/1994 y, por conexión, su Título II (arts. 6 a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15 de febrero de 2001, el Fiscal General del Estado presentó sus alegaciones en el Registro del Tribunal, remitiéndose a las formuladas en las cuestiones de inconstitucionalidad núms. 3065-1999 y 3066-1999. </w:t>
      </w:r>
    </w:p>
    <w:p w:rsidRPr="00C21FFE" w:rsidR="00AD51A7" w:rsidRDefault="008777C4">
      <w:pPr>
        <w:rPr/>
      </w:pPr>
      <w:r w:rsidRPr="&lt;w:rPr xmlns:w=&quot;http://schemas.openxmlformats.org/wordprocessingml/2006/main&quot;&gt;&lt;w:lang w:val=&quot;es-ES_tradnl&quot; /&gt;&lt;/w:rPr&gt;">
        <w:rPr/>
        <w:t xml:space="preserve">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Novena de la Sala de lo Contencioso-Administrativo del Tribunal Superior de Justicia de Madrid plantea cuestión de inconstitucionalidad respecto de la Ley de la Comunidad de Madrid 4/1994, 6 de junio, de calendario de horarios</w:t>
      </w:r>
    </w:p>
    <w:p w:rsidRPr="00C21FFE" w:rsidR="00AD51A7" w:rsidRDefault="008777C4">
      <w:pPr>
        <w:rPr/>
      </w:pPr>
      <w:r w:rsidRPr="&lt;w:rPr xmlns:w=&quot;http://schemas.openxmlformats.org/wordprocessingml/2006/main&quot;&gt;&lt;w:lang w:val=&quot;es-ES_tradnl&quot; /&gt;&lt;/w:rPr&gt;">
        <w:rPr/>
        <w:t xml:space="preserve">comerciales por posible vulneración de los arts. 149.1.13ª y 149.3 CE.</w:t>
      </w:r>
    </w:p>
    <w:p w:rsidRPr="00C21FFE" w:rsidR="00AD51A7" w:rsidRDefault="008777C4">
      <w:pPr>
        <w:rPr/>
      </w:pPr>
      <w:r w:rsidRPr="&lt;w:rPr xmlns:w=&quot;http://schemas.openxmlformats.org/wordprocessingml/2006/main&quot;&gt;&lt;w:lang w:val=&quot;es-ES_tradnl&quot; /&gt;&lt;/w:rPr&gt;">
        <w:rPr/>
        <w:t xml:space="preserve">Según el Auto de planteamiento de la cuestión, en el momento en que se aprobó dicha Ley, la Comunidad de Madrid carecía de competencia legislativa en materia de “comercio interior”, materia en la que deben encuadrarse la regulación de los horarios comerciales (SSTC 25/1993 y 228/1993, entre otras),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Pr="00C21FFE" w:rsidR="00AD51A7" w:rsidRDefault="008777C4">
      <w:pPr>
        <w:rPr/>
      </w:pPr>
      <w:r w:rsidRPr="&lt;w:rPr xmlns:w=&quot;http://schemas.openxmlformats.org/wordprocessingml/2006/main&quot;&gt;&lt;w:lang w:val=&quot;es-ES_tradnl&quot; /&gt;&lt;/w:rPr&gt;">
        <w:rPr/>
        <w:t xml:space="preserve">La cuestión que se nos suscita ya la hemos resuelto en nuestra STC 254/2004, de 22 de diciembre, estimando la cuestión respecto de los arts. 10.1 y 11.1 c) de la Ley 4/1994, lo que determina, de acuerdo con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4695-2000,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Presidenta doña María Emilia Casas Baamonde respecto del Auto dictado en la cuestión de inconstitucionalidad núm. 4695-2000, al que se adhieren los Magistrados doña Elisa Pérez Vera y don Manuel Aragón Reyes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coincidencia esencial de este asunto con el que se ha seguido en la cuestión de inconstitucionalidad núm. 3065/99, en la que se ha dictado Auto en el día de la fecha declarando la extinción de dicha cuestión de inconstitucionalidad por desaparición sobrevenida de su objeto, me remito al voto particular que formulé al mismo, cuyos argumentos, discrepantes con los de la mayoría, doy aquí por reproducidos.</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Vicente Conde Martín de Hijas respecto del Auto dictado en la cuestión de inconstitucionalidad núm. 4695-2000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coincidencia esencial de este asunto con el que se ha seguido en la cuestión de inconstitucionalidad núm. 3065/99, en la que se ha dicto Auto en el día de la fecha declarando la extinción de dicha cuestión de inconstitucionalidad por desaparición sobrevenida de su objeto, me remito al voto particular que formulé al mismo, cuyos argumentos, discrepantes de los de la mayoría, doy aquí por reproducidos.</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