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28 de agosto de 2003 la Procuradora de los Tribunales doña Inmaculada Rubio Escolano, en nombre y representación de don José Miguel Moreno Cano, interpuso recurso de amparo contra la Sentencia de la Sección Quinta de la Audiencia Provincial de Valencia, que desestima recurso de apelación contra la dictada por el Juez de lo Penal núm. 2 de Valencia en procedimiento abreviado. La demanda fue formalizada el 23 de diciembre de 2003 por el Letrado de Oficio designado.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interesa a los efectos de resolver esta pieza de suspensión los hechos de los que el presente recuso de amparo trae causa son, sucintamente expuestos, los siguientes: </w:t>
      </w:r>
    </w:p>
    <w:p w:rsidRPr="00C21FFE" w:rsidR="00AD51A7" w:rsidRDefault="008777C4">
      <w:pPr>
        <w:rPr/>
      </w:pPr>
      <w:r w:rsidRPr="&lt;w:rPr xmlns:w=&quot;http://schemas.openxmlformats.org/wordprocessingml/2006/main&quot;&gt;&lt;w:lang w:val=&quot;es-ES_tradnl&quot; /&gt;&lt;/w:rPr&gt;">
        <w:rPr/>
        <w:t xml:space="preserve">El demandante de amparo fue acusado, junto con otros dos, de la comisión de cuatro delitos de robo con violencia. El Juez de lo Penal núm. 2 de Valencia dictó Sentencia en la que condenaba a los otros dos acusados y absolvía al demandante de amparo. La condena de los otros dos acusados se basaba en el reconocimiento fotográfico efectuado por varias victimas, en la detención de los acusados (incluido el demandante) en el coche en el que huyeron del lugar de los hechos y, finalmente, en el hallazgo de instrumentos del delito en el interior del turismo propiedad del demandante. </w:t>
      </w:r>
    </w:p>
    <w:p w:rsidRPr="00C21FFE" w:rsidR="00AD51A7" w:rsidRDefault="008777C4">
      <w:pPr>
        <w:rPr/>
      </w:pPr>
      <w:r w:rsidRPr="&lt;w:rPr xmlns:w=&quot;http://schemas.openxmlformats.org/wordprocessingml/2006/main&quot;&gt;&lt;w:lang w:val=&quot;es-ES_tradnl&quot; /&gt;&lt;/w:rPr&gt;">
        <w:rPr/>
        <w:t xml:space="preserve">La Sentencia fue recurrida en apelación por los dos condenados, pero no lo fue por el Ministerio Fiscal ni, por descontado, por el demandante de amparo. La Audiencia Provincial dictó Sentencia en la que apreciaba que el Juzgado había errado al emparejar los clichés fotográficos sobre los que se efectuaron los reconocimientos con las personas a las que pertenecían, por lo que anuló la Sentencia con devolución al Juez de lo Penal para el dictado de nueva Sentencia. El Juez volvió a dictar Sentencia en el mismo sentido, es decir, absolviendo al demandante de amparo y condenando a los otros dos acusados, y la Audiencia volvió a anular la Sentencia merced a un nuevo recurso de los condenados (no del Ministerio Fiscal) al apreciar el mismo error. Finalmente el Juez, corrigiendo el error de correspondencia entre clichés y personas, dictó nueva Sentencia en la que condenó también al demandante de amparo, como autor de tres delitos de robo con intimidación, dos de ellos en grado de tentativa, con la atenuante de drogadicción y la agravante de reincidencia, a las penas de dos años de prisión por cada uno de los delitos intentados y de cuatro años de prisión por el delito consumado, así como a la pena de inhabilitación especial del derecho de sufragio pasivo durante el tiempo de la condena, al pago de las costas y a una indemnización de 474,79 euros. Tal Sentencia fue confirmada en apelación por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aduce vulneración del derecho a la presunción de inocencia y a la tutela judicial efectiva (art. 24.1 y 2 CE). Lo primero porque fue condenado con soporte en reconocimientos fotográficos que no fueron terminantes y que, además, no fueron ratificados en el acto del juicio oral. Lo segundo por cuanto la seguridad jurídica veda cualquier agravación del resultado decidido en la instancia aunque fuese evidente su procedencia legal. Ha sido condenado pese a la existencia de dos Sentencias absolutorias por los mismos hechos, lo cual va contra los propios actos y fue instigado por la Audiencia, la cual anuló dos Sentencias absolutorias no recurridas por el Ministerio Fiscal. </w:t>
      </w:r>
    </w:p>
    <w:p w:rsidRPr="00C21FFE" w:rsidR="00AD51A7" w:rsidRDefault="008777C4">
      <w:pPr>
        <w:rPr/>
      </w:pPr>
      <w:r w:rsidRPr="&lt;w:rPr xmlns:w=&quot;http://schemas.openxmlformats.org/wordprocessingml/2006/main&quot;&gt;&lt;w:lang w:val=&quot;es-ES_tradnl&quot; /&gt;&lt;/w:rPr&gt;">
        <w:rPr/>
        <w:t xml:space="preserve">En el escrito inicial de interposición del recurso de amparo, formulado el día 28 de agosto de 2003, se interesó la suspensión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enero de 2005 la Sala Segunda de este Tribunal acordó admitir a trámite el presente recurso de amparo así como, por otra providencia de la misma fecha, la formación de pieza separada para la tramitación del incidente de suspensión conforme determina el art. 56 de la LOTC. En la misma resolución se acordó conceder a la parte demandante y al Ministerio Público un plazo de tres días para que alegaran lo que considerasen oportuno en relación a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alegaciones el día 21 de enero de 2005 interesando la denegación de la solicitud de suspensión formulada. Tras extractar el iter procesal que condujo al dictado de las Sentencias aquí impugnadas y las alegaciones formuladas por el demandante recoge la doctrina constitucional acerca de la suspensión del acto del poder público, en este caso resoluciones judiciales, al que se reprocha haber vulnerado los derechos fundamentales. La aplicación de tal doctrina conduce, en opinión del Ministerio Público, a la denegación de la suspensión, ya que si la pena de prisión impuesta es de ocho años de duración y, además, se impone por la comisión de delitos patrimoniales de apoderamiento cometidos mediante el empleo de instrumentos peligrosos con los que se pone en peligro la integridad de las personas, no parece que los intereses del recurrente en amparo deban prevalecer sobre los intereses generales inherentes al cumplimiento de las resoluciones que imponen tales sanciones, máxime cuando antes de dicho plazo es previsible que el recurso de amparo sea resuelto.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dispone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Ahora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64/2001, de 26 de marzo, y 103/2001, de 3 de mayo).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resulte efectiva (en éstos o parecidos términos, AATC 616/1989, de 19 de diciembre; 161/1999, de 14 de junio; 243/2000, de 16 de octubre; 251/2000, de 30 de octubre y 310/2001, de 18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relación a la suspensión de la ejecución de una pena privativa de libertad debe recordarse nuestra doctrina, sintetizada en el reciente ATC 184/2004 de 19 de mayo, conforme a la cual: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 Respecto de condenas a penas privativas de libertad de hasta cinco años,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así como la trayectoria, acreditada documentalmente por el recurrente, posterior a su condena (ATC 270/2002)".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anterior doctrina al presente caso nos conduce a denegar la petición de suspensión de la ejecución de las penas impuestas, ya que, como advierte el Ministerio Fiscal, la suma total de la privación de libertad acordada en ellas (ocho años de prisión) es indicativa de la gravedad de los delitos cometidos, así como también deriva dicha especial gravedad de la multiplicidad de ellos y de la utilización de la violencia en su comisión, indicativa de su especial peligrosidad. En consecuencia la reprobación que el Ordenamiento asigna al hecho delictivo y, por consiguiente, la magnitud del interés general en la ejecución de las penas impuestas son especialmente relevantes y no pueden ceder frente a una solicitud de suspensión que, de otra parte, se limita a su mera formulación.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