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264</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julio de 2004, doña Carmen Echevarría Terroba, Procuradora de los Tribunales, y de don Cevat Ertugrul,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se encuentra en prisión provisional, inicialmente comunicada y sin fianza, desde el 3 de febrero de 2001, prisión decretada por Auto del Juzgado Central de Instrucción núm 6, en el marco del sumario 1-2003, por su presunta implicación en una organización internacional dedicada al tráfico de drogas (cocaína y heroína). </w:t>
      </w:r>
    </w:p>
    <w:p w:rsidRPr="00C21FFE" w:rsidR="00AD51A7" w:rsidRDefault="008777C4">
      <w:pPr>
        <w:rPr/>
      </w:pPr>
      <w:r w:rsidRPr="&lt;w:rPr xmlns:w=&quot;http://schemas.openxmlformats.org/wordprocessingml/2006/main&quot;&gt;&lt;w:lang w:val=&quot;es-ES_tradnl&quot; /&gt;&lt;/w:rPr&gt;">
        <w:rPr/>
        <w:t xml:space="preserve">b) Por Auto del Juzgado Central de Instrucción núm. 6 de 17 de febrero de 2004 se acordó la prisión provisional eludible mediante la prestación de una fianza de 1.000.000 euros, fianza que no fue depositada, manteniéndose, por tanto, la prisión. </w:t>
      </w:r>
    </w:p>
    <w:p w:rsidRPr="00C21FFE" w:rsidR="00AD51A7" w:rsidRDefault="008777C4">
      <w:pPr>
        <w:rPr/>
      </w:pPr>
      <w:r w:rsidRPr="&lt;w:rPr xmlns:w=&quot;http://schemas.openxmlformats.org/wordprocessingml/2006/main&quot;&gt;&lt;w:lang w:val=&quot;es-ES_tradnl&quot; /&gt;&lt;/w:rPr&gt;">
        <w:rPr/>
        <w:t xml:space="preserve">c) Una vez concluido el sumario, se solicitó la reducción de la fianza o la libertad sin fianza. La Sección Cuarta de la Sala de lo Penal de la Audiencia Nacional, mediante Auto de 18 de mayo de 2004, denegó la libertad provisional sin fianza, pero procedió a la reducción de la fianza a la cantidad de 60.000 euros, fianza que fue depositada el 31 de mayo de 2004, dictándose ese día un Auto que declara bastante la fianza depositada y decreta la libertad provisional, con la obligación de presentarse semanalmente ante la Sala o el Juzgado más cercano a su domicilio, prohibición de salida del territorio nacional, y otra serie de obligaciones. </w:t>
      </w:r>
    </w:p>
    <w:p w:rsidRPr="00C21FFE" w:rsidR="00AD51A7" w:rsidRDefault="008777C4">
      <w:pPr>
        <w:rPr/>
      </w:pPr>
      <w:r w:rsidRPr="&lt;w:rPr xmlns:w=&quot;http://schemas.openxmlformats.org/wordprocessingml/2006/main&quot;&gt;&lt;w:lang w:val=&quot;es-ES_tradnl&quot; /&gt;&lt;/w:rPr&gt;">
        <w:rPr/>
        <w:t xml:space="preserve">d) Por providencia de 1 de junio de 2004, y a la vista de un informe del Ministerio Fiscal —en el que se solicita que se ampliaran las comparecencias, exigiendo que compareciera diariamente dos veces ante la Guardia civil o la comisaría más cercana a su domicilio— se acordó por la Sección Cuarta de la Sala de lo Penal citar a las partes el día 9 de junio de 2004, a los efectos de practicar la comparecencia prevista en el art. 505 LECrim. En dicha comparecencia, el Ministerio Fiscal solicitó la revocación de la reducción de la fianza y que se mantuviera la fijada por el Instructor, remitiéndose a las razones dadas por éste en el Auto de procesamiento, de 29 de agosto de 2003, respecto a los indicios de que el recurrente y otras tres personas de nacionalidad turca eran los dirigentes del entramado delictivo, con conexiones en Turquía, Marruecos y otros países y contactos directos con personas dedicadas al tráfico de drogas, falsificación de documentos, blanqueo de capitales y armas. En ese mismo acto, la Sala acordó elevar la fianza del recurrente a 1.000.000 euros (la cantidad fijada inicialmente por el Instructor y posteriormente rebajada por la propia Sala) para eludir la prisión provisional e imponer la obligación de comparecencia apud acta dos veces al día en la comisaría del domicilio designado. Ese mismo día se dicta un Auto, acordando la libertad provisional siempre que se preste la fianza de 1.000.000 euros. </w:t>
      </w:r>
    </w:p>
    <w:p w:rsidRPr="00C21FFE" w:rsidR="00AD51A7" w:rsidRDefault="008777C4">
      <w:pPr>
        <w:rPr/>
      </w:pPr>
      <w:r w:rsidRPr="&lt;w:rPr xmlns:w=&quot;http://schemas.openxmlformats.org/wordprocessingml/2006/main&quot;&gt;&lt;w:lang w:val=&quot;es-ES_tradnl&quot; /&gt;&lt;/w:rPr&gt;">
        <w:rPr/>
        <w:t xml:space="preserve">e) Contra la anterior resolución se interpone recurso de súplica, desestimado por Auto de 25 de junio de 2004. La Sala recuerda que el art. 539 LECrim. permite modificar la situación personal de los encausados y que la petición del Ministerio Fiscal en la comparencia del art. 505, “en modo alguno extemporáneas o sorpresivas, suponen indudablemente una variación sustancial que necesita de una nueva consideración por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la tutela judicial efectiva (art. 24.1 CE), a la libertad (art. 17 CE) y a la igualdad ante la ley (art. 14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se deje en suspenso la ejecución de las resoluciones impugnadas, dada la dificultad de reparación del perjuicio, y se proceda a ordenar la libertad provisional del recurrente, prestando la fianza establecida en el Auto de 18 de mayo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febrero de 2005 la Sección Segunda de este Tribunal acordó la admisión a trámite de la demanda así como, a tenor de lo establecido en el art. 51 LOTC, requerir atentamente a la Sección Cuarta de la Sala de lo Penal de la Audiencia Nacional para que remitiera testimonio de las actuaciones, interesándose al tiempo que emplazasen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14 de marzo de 2005, realiza sus alegaciones el demandante de amparo, quien reitera la solicitud de suspensión, alegando que el perjuicio causado por la ejecución, al tratarse del derecho a la libertad, es irreparable. </w:t>
      </w:r>
    </w:p>
    <w:p w:rsidRPr="00C21FFE" w:rsidR="00AD51A7" w:rsidRDefault="008777C4">
      <w:pPr>
        <w:rPr/>
      </w:pPr>
      <w:r w:rsidRPr="&lt;w:rPr xmlns:w=&quot;http://schemas.openxmlformats.org/wordprocessingml/2006/main&quot;&gt;&lt;w:lang w:val=&quot;es-ES_tradnl&quot; /&gt;&lt;/w:rPr&gt;">
        <w:rPr/>
        <w:t xml:space="preserve">También se señala que en el procedimiento en el que se dictaron las resoluciones recurridas se ha procedido a dictar Sentencia condenatoria del demandante de amparo (con una gran celeridad, que se atribuye a la finalidad de prorrogar la situación de prisión provisional de las cuatro personas que estaban en prisión), en la que se ha prorrogado la prisión provisional hasta la mitad de la pena impuesta. Contra esta Sentencia se ha anunciado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16 de marzo de 2005 se registró en este Tribunal el escrito de alegaciones del Ministerio Fiscal, que se opone a la suspensión solicitada. Con cita del ATC 364/2003, recuerda el Fiscal que es reiterada doctrina de este Tribunal que en los supuestos en que se solicita la suspensión de resoluciones que afectan al derecho a la libertad, si bien su ejecución supone un perjuicio irreparable, la suspensión de las mismas supone un otorgamiento anticipado del amparo, que obligaría a un examen de fondo de la demanda, no procedente en este momento. Por ello, este Tribunal deniega la suspensión en estos casos, sin perjuicio de acordar dar a la tramitación la mayor celeridad posible. </w:t>
      </w:r>
    </w:p>
    <w:p w:rsidRPr="00C21FFE" w:rsidR="00AD51A7" w:rsidRDefault="008777C4">
      <w:pPr>
        <w:rPr/>
      </w:pPr>
      <w:r w:rsidRPr="&lt;w:rPr xmlns:w=&quot;http://schemas.openxmlformats.org/wordprocessingml/2006/main&quot;&gt;&lt;w:lang w:val=&quot;es-ES_tradnl&quot; /&gt;&lt;/w:rPr&gt;">
        <w:rPr/>
        <w:t xml:space="preserve">Por lo demás, señala el Fiscal que la solicitud de libertad provisional va más allá de lo que concedería una eventual sentencia estimatoria (cita STC 120/2004). A ello se añade que el día 28 de enero de 2005 se ha dictado Sentencia condenatoria del recurrente, en la que se imponen penas privativas de libertad que superan los veinte años de prisión, lo que implica una variación de las circunstancias a tener en cuenta para acordar la prisión provisional, que debe ser valorada por los órganos de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aquél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 los supuestos en que se impugnan resoluciones relativas a medidas cautelares de prisión provisional en las que se denuncia la vulneración del derecho a la libertad personal, es doctrina reiterada de este Tribunal —como señala el Ministerio Fiscal— que, si bien la ejecución de la resolución impugnada siempre menoscaba la finalidad del amparo si éste fuera finalmente otorgado, al consolidarse la situación de privación de libertad, sin embargo, la automaticidad en decretar la suspensión de tales medidas equivaldría a un otorgamiento anticipado del amparo, que obligaría a un examen de fondo de la demanda, no procedente en este trámite. Por ello, este Tribunal deniega la suspensión en estos casos (AATC 180/1998, 180/2000, 292/2000, 121/2001, 364/2003).</w:t>
      </w:r>
    </w:p>
    <w:p w:rsidRPr="00C21FFE" w:rsidR="00AD51A7" w:rsidRDefault="008777C4">
      <w:pPr>
        <w:rPr/>
      </w:pPr>
      <w:r w:rsidRPr="&lt;w:rPr xmlns:w=&quot;http://schemas.openxmlformats.org/wordprocessingml/2006/main&quot;&gt;&lt;w:lang w:val=&quot;es-ES_tradnl&quot; /&gt;&lt;/w:rPr&gt;">
        <w:rPr/>
        <w:t xml:space="preserve">Pues bien, dado que en el presente caso las resoluciones judiciales recurridas adoptan medidas cautelares en el seno de un proceso penal que afectan al derecho a la libertad, y que determinaron la permanencia en prisión provisional del recurrente, resulta de aplicación la doctrina anteriormente expuesta, y no procede, en consecuencia, acceder a la solicitud de suspensión, pues la misma equivaldría, —con independencia del alcance y efectos de una eventual sentencia estimatoria— al otorgamiento anticipado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