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en fecha 9 de marzo de 2004, el Procurador de los Tribunales don José Núñez Armendáriz, en nombre y representación de Hijos de J.A. Cruz SL, interpuso recurso de amparo contra la Sentencia de la Sección Tercera de la Audiencia Provincial de Badajoz, de 31 de diciembre de 2003, recaída en recurso de anulación núm. 319-2003 interpuesto contra los Laudos arbitrales núms. 2 al 8--- 2003 dictados por la Junta Arbitral de Transportes de Extremadura. En la demanda de amparo se solicitaba la suspensión del archivo y la declaración de firmeza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26 de mayo de 2005, dictadas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 la parte recurrente y al Ministerio Fiscal,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 de junio de 2005 tuvo entrada en este Tribunal el escrito de alegaciones de la recurrente en amparo, que reprodujo las contenidas en el mencionado otrosí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3 de junio de 2005. En él, tras la exposición de los antecedentes y de la jurisprudencia de este Tribunal relativa a la suspensión de la ejecución de resoluciones judiciales, considera que no procede suspender la ejecución de la Sentencia recurrida en amparo teniendo en cuenta la poca entidad económica del perjuicio que se ocasionaría y dado que un eventual otorgamiento del amparo y anulación de la Sentencia de la Audiencia no implicaría la imposibilidad de ejecutar los Laudos que simplemente resultaria aplazada.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AATC 99/2002, de 5 de junio, FJ 1; 223/2002, de 11 de noviembre, FJ 2; 9/2003, de 9 de enero, FJ 1 o 26/2003, de 28 de enero, FJ 1) que, cuando se trata de resoluciones judiciales, la suspensión de su ejecución entraña en sí misma una perturbación del interés general consistente en mantener su eficacia (art. 117.3 CE), a la vez que afecta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w:t>
      </w:r>
    </w:p>
    <w:p w:rsidRPr="00C21FFE" w:rsidR="00AD51A7" w:rsidRDefault="008777C4">
      <w:pPr>
        <w:rPr/>
      </w:pPr>
      <w:r w:rsidRPr="&lt;w:rPr xmlns:w=&quot;http://schemas.openxmlformats.org/wordprocessingml/2006/main&quot;&gt;&lt;w:lang w:val=&quot;es-ES_tradnl&quot; /&gt;&lt;/w:rPr&gt;">
        <w:rPr/>
        <w:t xml:space="preserve">Debe entenderse que sólo hay perjuicio irreparable cuando la no suspensión del acto recurrido impida definitivamente la restauración efectiva del derecho constitucional vulnerado. Pues bien, en general, este Tribunal ha entendido que las resoluciones judiciales con efectos meramente patrimoniales o económicos, como la impugnada en el presente recurso de amparo, no causan, en principio, perjuicios irreparables, por lo que no procede su suspensión (AATC 573/1985, 574/1985 o 275/1990).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luz de la doctrina que se acaba de exponer no procede decretar la suspensión solicitada dada la naturaleza puramente económica del perjuicio que ocasionaría la ejecución de la Sentencia desestimatoria impugnada a la entidad demandante, lo que determina que el mismo siempre resulte 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de la ejecución de la Sentencia de la Sala de la Sección Tercera de la Audiencia Provincial de Badajoz, recaída en recurso de anulación núm. 319-2003 interpuesto contra los Laudos arbitrales núms. 2 al 8-2003 dictados por la Junta</w:t>
      </w:r>
    </w:p>
    <w:p w:rsidRPr="" w:rsidR="00AD51A7" w:rsidRDefault="008777C4">
      <w:pPr>
        <w:rPr/>
      </w:pPr>
      <w:r w:rsidRPr="&lt;w:rPr xmlns:w=&quot;http://schemas.openxmlformats.org/wordprocessingml/2006/main&quot;&gt;&lt;w:szCs w:val=&quot;24&quot; /&gt;&lt;/w:rPr&gt;">
        <w:rPr/>
        <w:t xml:space="preserve">Arbitral de Transportes de Extremadura, recurrida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del recurrente y al Ministerio Fiscal.</w:t>
      </w:r>
    </w:p>
    <w:p w:rsidRPr="" w:rsidR="00AD51A7" w:rsidRDefault="008777C4">
      <w:pPr>
        <w:rPr/>
      </w:pPr>
      <w:r w:rsidRPr="&lt;w:rPr xmlns:w=&quot;http://schemas.openxmlformats.org/wordprocessingml/2006/main&quot;&gt;&lt;w:szCs w:val=&quot;24&quot; /&gt;&lt;/w:rPr&gt;">
        <w:rPr/>
        <w:t xml:space="preserve">Madrid, a cuatro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