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julio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5 de septiembre de 2003, la Procuradora de los Tribunales doña Teresa Castro Rodríguez, en nombre y representación de don Hicham Mahyoub, interpuso recurso de amparo contra la Sentencia de la Sección Tercera de la Audiencia Provincial de Murcia de 1 de julio de 2003, confirmatoria en apelación de la Sentencia condenatoria dictada por el Juzgado de lo Penal núm.1 de esa misma ciudad, con fecha de 17 de marzo de 2003, en procedimiento seguido contra el demandante de amparo por delitos de robo, hurto y falsedad en documento oficial.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Juzgado de lo Penal núm.1 de Murcia de 17 de marzo de 2003, confirmada en apelación por la de la Audiencia Provincial de Murcia de 1 de julio de 2003, condenaba al demandante de amparo, como autor responsable de un delito de robo con fuerza en las cosas, un delito de hurto y un delito continuado de falsedad en documento oficial, a las penas de dos años de prisión por el primero de dichos delitos, un año de prisión por el segundo, y tres años de prisión y multa por tiempo de doce meses, a razón de una cuota diaria de 6 euros, por el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enero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17 de febrero de 2005 en el que, de conformidad con la reiterada doctrina dictada por este Tribunal respecto del carácter excepcional de la suspensión de la ejecución de las penas impuestas por Sentencia firme, no consideraba procedente acceder a la suspensión de las penas privativas de libertad solicitada por el demandante de amparo toda vez que la suma del cumplimiento de todas ellas alcanza un total de seis años de prisión, por lo que, si bien ciertamente la no suspensión de las mismas causará algún perjuicio al recurrente caso de ser finalmente otorgado el amparo, frente a ello debe prevalecer en este caso, a su juicio, el interés general en la ejecución de las Sentencias recurridas. Tampoco estimaba procedente acceder a la suspensión de la ejecución de las costas procesales, por tratarse de un pronunciamiento de carácter económico y, como tal, fácilmente 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su parte, evacuó idéntico trámite mediante escrito de fecha 15 de febrero de 2005 en el que insistía en que, de no suspenderse la ejecución de las penas impuestas, se le ocasionaría un perjuicio irreparable, dado el fumus boni iuris existente a su favor que podría dar lugar a una resolución de este Tribunal favorable al otorgamiento del amparo solicitado, ya que, habiendo sido sustituida la pena de prisión que le fue impuesta por un tiempo total de seis años por su expulsión del territorio nacional, dicha expulsión le ocasionaría un perjuicio evidente al tener residencia legal, trabajo y arraigo en España.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general reseñada al caso presente conduce a no acordar la suspensión interesada en lo relativo a la pena privativa de libertad dado que, siendo el tiempo que de la misma le queda por cumplir al demandante de amparo superior a cinco años resulta previsible que la resolución acerca del amparo solicitado se produzca mucho antes de transcurrido dicho tiempo, lo que hace los intereses generales asociados a la ejecución de toda Sentencia penal en lo que a privación de libertad se refiere deban, en este caso, considerarse prevalentes. Procede asimismo denegar la suspensión de la ejecución de la pena de multa por tratarse de un pronunciamiento de naturaleza económica y, en consecuencia, reversible, ello sin perjuicio de que por la índole del caso sea aconsejable anticipar en el orden de señalamientos el conocimiento del presente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procede en este caso una consideración diferenciada de la sustitución de la prisión por expulsión del territorio nacional, a que se hace alusión por el recurrente en el escrito de alegaciones de este incidente, pues no se formula una petición específica de suspensión de tal forma de ejecución, sino sólo como un elemento de apoyo a la urgencia del pronunciamiento sobre la suspensión de la ejecución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las penas solicitada, ordenando la anticipación del conocimiento del presente proceso en el orden de señalamientos.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