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mayo de 2004, el Procurador de los Tribunales don Joaquín Fanjul de Antonio interpuso, en nombre de don Santiago Serrano Martínez, recurso de amparo contra la Sentencia de la Sección Segunda de la Audiencia Provincial de Valladolid, de fecha 12 de abril de 2004, dictada en el rollo de apelación núm 220-2003, que desestimó el recurso de apelación interpuesto contra la Sentencia del Juzgado de lo Penal núm. 3 de los de Valladolid, de fecha 1 de julio de 2003, que condenó al solicitante de amparo como autor responsable de cuatro delitos de homicidio imprudente en relación de concurso ideal a la pena de tres años de prisión, con las accesorias de inhabilitación especial durante igual tiempo para el ejercicio del derecho de sufragio pasivo y la privación del derecho a conducir vehículos de motor y ciclomotores durante cuatro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en relación con la Sentencia dictada por la Audiencia Provincial de Valladolid, violación del derecho fundamental a un proceso con todas las garantías (art. 24.2 CE), del derecho fundamental a la presunción de inocencia (art. 24.2 CE) y del derecho fundamental a la tutela judicial efectiva (art. 24.1 CE); y, en relación con la Sentencia dictada por el Juzgado de lo Penal: violación del derecho fundamental a la presunción de inocencia (art. 24.2 CE) y del derecho fundamental a la tutela judicial efectiva (art. 24.1 CE). En la demanda de amparo se solicita también, mediante Otrosí, la suspensión de la ejecución de las Sentencias recurridas únicamente en cuanto a las penas impuestas al solicitante de amparo, y concretamente la suspensión se refiere a la pena privativa de libertad impuesta y a la prohibición de conducir vehículos de 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 2005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de amparo formuló sus alegaciones en escrito que tuvo entrada en este Tribunal el día 15 de junio de 2005, reiterando su petición de suspensión por las siguientes razones: en primer lugar, porque de no suspenderse la ejecución de la Sentencia controvertida se ocasionaría al solicitante de amparo un perjuicio irreparable, al ser previsible que las penas impuestas en aquella resolución estén a punto de cumplirse o estén ya cumplidas en su totalidad dentro del plazo estimado para la sustanciación del presente recurso, con lo cual se dejaría totalmente en entredicho la eficacia de un eventual fallo estimatorio; en segundo lugar, porque no hay indicios de que exista un riesgo de sustracción a la acción de la Justicia por parte del demandante, pues en el transcurso de los casi más de cuatro años que ha durado la instrucción y posterior enjuiciamiento de los hechos controvertidos jamás ha dejado de comparecer a los múltiples llamamientos judiciales acordados, debiendo asimismo tomarse en consideración su fuerte arraigo, los escasos recursos de que dispone, su domicilio y los lazos familiares, que le sitúan exclusivamente en España; en tercer lugar, porque no parece tampoco justificado invocar una posible infracción al interés general, toda vez que los intereses generales asociados a la ejecución de toda Sentencia penal, en lo que a privación de libertad se refiere, se encuentran en estos casos muy debilitados; y, por último, porque no es posible alegar una eventual desprotección de las víctimas, en cuanto las indemnizaciones a que resultó condenado el demandante ya fueron satisfechas por la compañía aseguradora.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20 de junio de 2004, el Ministerio Fiscal manifestó su no oposición a la suspensión solicitada de la pena privativa de libertad y de su accesoria, alegando que la pena privativa de libertad para la que se pide se ha impuesto con una duración de tres años, sin que esta extensión sea excesiva en relación con la duración habitual del recurso de amparo. Además, el demandante de amparo carece de antecedentes penales y no ha estado en prisión provisional durante la tramitación de la causa. Sin embargo, respecto a la pena de privación del derecho a conducir vehículos de motor y ciclomotores no puede aplicarse la misma doctrina, ya que no está en juego un derecho fundamental como es el de la libertad provisional. El solicitante de amparo ni siquiera ha intentado señalar los perjuicios que podría ocasionarle la ejecución de esta condena, no correspondiendo al Tribunal ni suponerlos ni tenerlos por acreditados cuando falta la alegación, argumentación y acreditación que es carga del demandante. Por ello no procede acordar la suspensión de esta pena.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general de que la ejecución de las resoluciones judiciales cuyos efectos son fundamentalmente patrimoniales o de contenido económico ni causa un perjuicio irreparable al obligado al pago ni puede hacer, en principio o como regla general,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atendiendo a la duración de la pena privativa de libertad impuesta al demandante (tres años),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w:t>
      </w:r>
    </w:p>
    <w:p w:rsidRPr="00C21FFE" w:rsidR="00AD51A7" w:rsidRDefault="008777C4">
      <w:pPr>
        <w:rPr/>
      </w:pPr>
      <w:r w:rsidRPr="&lt;w:rPr xmlns:w=&quot;http://schemas.openxmlformats.org/wordprocessingml/2006/main&quot;&gt;&lt;w:lang w:val=&quot;es-ES_tradnl&quot; /&gt;&lt;/w:rPr&gt;">
        <w:rPr/>
        <w:t xml:space="preserve">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Dadas las circunstancias especiales que concurren en el presente caso, no procede en cambio suspender la ejecución de la pena de privación del derecho a conducir vehículos a motor y ciclomotores que le fue impuesta al demandante de amparo por tiempo de cuatro años. Respecto de la suspensión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Por su parte, en cuanto a la privación del permiso de conducir vehículos de motor, este Tribunal, desde el ATC 30/1999 sólo ha acordado su suspensión en la medida en que el demandante de amparo haya alegado y acreditado perjuicios de especial consideración en el caso concreto, debido a la condición de conductor profesional (ATC 242/2000) o a la distancia entre la residencia y el lugar de trabajo y la inexistencia de transporte público para efectuar dicho desplazamiento (ATC 53/1999); negándose la suspensión ante la falta de alegación y acreditación de dichos perjuicios (AATC 30/1999, 83/2001, 182/2001). Pues bien, conjugados todos estos criterios, procede en este caso, como se ha anticipado, denegar la suspensión de la ejecución de la pena de privación del permiso de conducir impuesta al recurrente por tiempo de cuatro años en atención a la extraordinaria gravedad de los resultados ocasionados por el hecho delictivo, y, habida cuenta, de que el demandante no ha acreditado qué especiales perjuicios se derivarían de su ejecución en este caso concreto.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las Sentencias de la Sección Segunda de la Audiencia Provincial de Valladolid de 12 de abril de 2004 (rollo núm 490-2003), y del Juzgado de lo Penal núm 3 de los de Valladolid de 1 de julio de 2003, (P.A. núm 120-2003),</w:t>
      </w:r>
    </w:p>
    <w:p w:rsidRPr="" w:rsidR="00AD51A7" w:rsidRDefault="008777C4">
      <w:pPr>
        <w:rPr/>
      </w:pPr>
      <w:r w:rsidRPr="&lt;w:rPr xmlns:w=&quot;http://schemas.openxmlformats.org/wordprocessingml/2006/main&quot;&gt;&lt;w:szCs w:val=&quot;24&quot; /&gt;&lt;/w:rPr&gt;">
        <w:rPr/>
        <w:t xml:space="preserve">exclusivamente en lo relativo a la condena al recurrente a la pena de prisión de tres años.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