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460</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979/02), el Auto de la referida Sala de 28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4 de octubre de 2001 la Consejería de Economía, Industria y Comercio de la Junta de Extremadura notificó a D. Carlos Alcón Alcón dos propuestas de liquidación provisional (núms. expd. 200100054 y 200100055), en concepto de Impuesto sobre el suelo sin edificar y edificaciones ruinosas, por un importe de 3.993,06 € y 1.553,09 €, respectivamente. Presentadas las correspondientes alegaciones en relación con dichas propuestas,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Formuladas reclamaciones económico-administrativas (núms. 8/2002 y 9/2002) ante la Junta Económico-Administrativa de la Junta de Extremadura, éstas fueron desestimadas por Resoluciones de 24 de junio de 2002. </w:t>
      </w:r>
    </w:p>
    <w:p w:rsidRPr="00C21FFE" w:rsidR="00AD51A7" w:rsidRDefault="008777C4">
      <w:pPr>
        <w:rPr/>
      </w:pPr>
      <w:r w:rsidRPr="&lt;w:rPr xmlns:w=&quot;http://schemas.openxmlformats.org/wordprocessingml/2006/main&quot;&gt;&lt;w:lang w:val=&quot;es-ES_tradnl&quot; /&gt;&lt;/w:rPr&gt;">
        <w:rPr/>
        <w:t xml:space="preserve">c) Contra las anteriores Resoluciones se interpuso recurso contencioso-administrativo (núm. 979/02)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28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Cuarta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28 de marzo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