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63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2006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27 de febrero de 2006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ÚNICO. En el recurso de amparo antes referido se impugna Auto dictado por la Sala de lo Contencioso-Administrativo del Tribunal Supremo en el Recurso de casación contra la sentencia dictada por el TSJ de Galicia, Sala de lo Contencioso-Administrativo en el recurso 302/98.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Mediante escrito fechado el 9 de febrero de 2006 el Magistrado don Eugeni Gay Montalvo comunicó, a los efectos oportunos, que se abstenía de intervenir en el antes indicado recurso de amparo, de conformidad con el art. 219.13ª LOPJ, dado que los Acuerdos a que hace referencia el presente recurso fueron tomados durante su presidencia del Consejo General de la Abogacía y, en consecuencia, también de su Comisión Permanente.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Eugeni Gay Montalvo, Magistrado de esta Sala Segunda del Tribunal Constitucional, la Sala, en virtud de lo previsto en los arts. 80 LOTC y 221.4 LOPJ, estima justificada la causa de abstención formulada.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lo expuesto, la Sala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la causa de abstención formulada por el Excmo. Sr. Don Eugeni Gay Montalvo en el recurso de amparo con núm. de registro 3891-2003, apartándole definitivamente del referido recurso.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veintisiete de febrero de dos mil seis.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