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abril de 2004 el recurrente manifestó su intención de recurrir en amparo la Sentencia dictada por la Sección Tercera de la Audiencia Provincial de Huelva, de 12 de marzo de 2004, que desestimó el recurso de apelación núm. 45-2004, y, a tal efecto, solicitó le fueran nombrados Abogado y Procurador de oficio. Tras el oportuno expediente, en el que se le reconoció el derecho a la asistencia jurídica gratuita, doña María José Millán Valero y don Baldomero Francisco Navarro Martín fueron nombrados, respectivamente, Procuradora y Abogado del turno de oficio. La demanda de amparo se formuló con fecha de registro de este Tribunal de 5 de noviembre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 que a este incidente interesa, en los siguientes hechos: </w:t>
      </w:r>
    </w:p>
    <w:p w:rsidRPr="00C21FFE" w:rsidR="00AD51A7" w:rsidRDefault="008777C4">
      <w:pPr>
        <w:rPr/>
      </w:pPr>
      <w:r w:rsidRPr="&lt;w:rPr xmlns:w=&quot;http://schemas.openxmlformats.org/wordprocessingml/2006/main&quot;&gt;&lt;w:lang w:val=&quot;es-ES_tradnl&quot; /&gt;&lt;/w:rPr&gt;">
        <w:rPr/>
        <w:t xml:space="preserve">a) La Sentencia núm. 17/2004, de 22 de enero, dictada por el Juzgado de lo Penal núm. 4 de Huelva condenó al ahora recurrente en amparo como autor de un delito de robo con violencia e intimidación en las personas, con la apreciación de la circunstancia agravante de reincidencia y la atenuante de drogadicción, a la pena de prisión de 3 años y seis meses, con la accesoria de inhabilitación especial para el ejercicio del derecho de sufragio pasivo durante el tiempo de condena y al pago de las costas. La condena se basó, fundamentalmente, en la declaración sumarial prestada por la víctima ante el Juez de instrucción e introducida en el plenario a solicitud del Fiscal ex art. 730 LECrim al no poder comparecer en el plenario a causa de su avanzada edad y estado de salud (tenía 81 años en el día de autos y se desplazaba ayudada de un andador). </w:t>
      </w:r>
    </w:p>
    <w:p w:rsidRPr="00C21FFE" w:rsidR="00AD51A7" w:rsidRDefault="008777C4">
      <w:pPr>
        <w:rPr/>
      </w:pPr>
      <w:r w:rsidRPr="&lt;w:rPr xmlns:w=&quot;http://schemas.openxmlformats.org/wordprocessingml/2006/main&quot;&gt;&lt;w:lang w:val=&quot;es-ES_tradnl&quot; /&gt;&lt;/w:rPr&gt;">
        <w:rPr/>
        <w:t xml:space="preserve">b) El condenado interpuso recurso de apelación contra la indicada Sentencia, que fue desestimado en su totalidad por la Sección Tercera de la Audiencia Provincial de Huelva, mediante Sentencia de 12 de marzo de 2004 e imponiendo al apelante las costas procesales causadas en esa alzada. </w:t>
      </w:r>
    </w:p>
    <w:p w:rsidRPr="00C21FFE" w:rsidR="00AD51A7" w:rsidRDefault="008777C4">
      <w:pPr>
        <w:rPr/>
      </w:pPr>
      <w:r w:rsidRPr="&lt;w:rPr xmlns:w=&quot;http://schemas.openxmlformats.org/wordprocessingml/2006/main&quot;&gt;&lt;w:lang w:val=&quot;es-ES_tradnl&quot; /&gt;&lt;/w:rPr&gt;">
        <w:rPr/>
        <w:t xml:space="preserve">c) En la demanda de amparo el recurrente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7 de febrero de 2006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aleguen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registrado de fecha 15 de febrero de 2006, “no se opone a la suspensión de la pena de prisión de 3 años y seis meses, y de la accesoria de inhabilitación especial para el ejercicio del derecho de sufragio pasivo durante el tiempo, y se opone a la de la condena al pago de las costas procesales”. Entiende el Fiscal que, de no concederse la suspensión cautelar interesada, “el amparo perdería, totalmente o en gran parte, su finalidad: a tal fin y aún aceptando la gravedad de un delito como aquél por el que ha sido condenado, las circunstancias concurrentes en la persona del demandante han determinado una pena de la que, si se ha procedido a la ejecución, debe llevar cumplida casi la mitad; y, aunque este incidente no permite llevar a una anticipación del amparo, cabe observar que la estimación del derecho fundamental alegado conllevaría la plena anulación de las sentencias recurridas, lo que implicaría la absolución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mediante escrito registrado con fecha 16 de febrero de 2006, formuló alegaciones con las que reiteraba su petición de suspensión de la ejecución impuesta con base en la irreparabilidad del perjuicio que le ocasionaría “y que haría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agotadoras de la vía judicial previa, la suspensión de su ejecución entraña siempre en sí misma una perturbación de la potestad jurisdiccional, que comprende el poder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cautelar de carácter excepcional y de aplicación restrictiva (AATC 2/2001, de 15 de enero; 45/2001, de 26 de febrero; 64/2001, de 26 de marzo; 78/2001, de 2 de abril, y 83/2001, de 23 de abril). Por ello la adopción de esta medida resulta pertinente sólo cuando la ejecución del fallo cause al solicitante de amparo un perjuicio irreparable en los derechos fundamentales invocados en el proceso constitucional, debiendo entenderse por perjuicio irreparable aquél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general reseñada al caso presente conduce a acordar, compartiendo el criterio del Ministerio Fiscal, la suspensión de la ejecución de la pena privativa de libertad dado que, de no suspenderse, podría ocasionarse al demandante de amparo un perjuicio irreparable toda vez que, como ya hemos declarado en anteriores ocasiones (AATC 269/1998, de 26 de noviembre y 84/2002, de 20 de mayo), estando comprendida la duración de la misma (tres años y seis meses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Del mimo modo, en aplicación de la doctrina reiterada de este Tribunal (AATC 200/1999, de 22 de julio; 318/1999, de 20 de diciembre; 258/2000, de 13 de noviembre; 293/2001, de 26 de noviembre; y 36/2003, de 30 de enero; entre otros), también procede la suspensión de las penas accesorias (inhabilitación especial para el derecho de sufragio pasivo durante el tiempo de la condena) que, por su naturaleza, deben seguir la misma suerte que la principal.</w:t>
      </w:r>
    </w:p>
    <w:p w:rsidRPr="00C21FFE" w:rsidR="00AD51A7" w:rsidRDefault="008777C4">
      <w:pPr>
        <w:rPr/>
      </w:pPr>
      <w:r w:rsidRPr="&lt;w:rPr xmlns:w=&quot;http://schemas.openxmlformats.org/wordprocessingml/2006/main&quot;&gt;&lt;w:lang w:val=&quot;es-ES_tradnl&quot; /&gt;&lt;/w:rPr&gt;">
        <w:rPr/>
        <w:t xml:space="preserve">No procede, por el contrario, la suspensión de la condena al pago de las costas procesales dado que, conforme al antes referido criterio de este Tribunal, los perjuicios anejos a la ejecución de condenas de contenido económico son perfectamente reparables en caso de estimarse el amparo (AATC 211/2004, de 2 de junio, FJ 2; 184/2004, de 19 de mayo, FJ 5 y las numerosas resoluciones allí citadas).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interesada por don Rafael López Alfaro exclusivamente en lo referente a la pena privativa de libertad y a la accesoria de inhabilitación especial para el derecho de sufragio pasivo.</w:t>
      </w:r>
    </w:p>
    <w:p w:rsidRPr="" w:rsidR="00AD51A7" w:rsidRDefault="008777C4">
      <w:pPr>
        <w:rPr/>
      </w:pPr>
      <w:r w:rsidRPr="&lt;w:rPr xmlns:w=&quot;http://schemas.openxmlformats.org/wordprocessingml/2006/main&quot;&gt;&lt;w:szCs w:val=&quot;24&quot; /&gt;&lt;/w:rPr&gt;">
        <w:rPr/>
        <w:t xml:space="preserve">2º. Denegar la suspensión en lo concerniente al abono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