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18 de noviembre de 2004, mediante el que se acuerda elevar a este Tribunal cuestión de inconstitucionalidad respecto del apartado 2.2.5 del art. 66 Ley 13/2000, de 28 de diciembre, de presupuestos generales del Estado para el año 2001, dado que pudiera ser contrario a los arts. 9.3, 31.3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de 29 de marzo de 2001 la Secretaría de Estado de Telecomunicaciones y para la Sociedad de la Información giró a la entidad mercantil “Telefónica Móviles España, S.A.” una liquidación en concepto de tasa de reserva del dominio público radioeléctrico (núm. DGZZ-9820002) correspondiente al período 01-01-2001 a 31-12-2001, sobre una base de 13.560.532.000 URRs (cantidad de dominio público reservado) y un valor de la URR de 0,41664 con un importe total de 5.649.860.052 ptas (33.956.342,79 €). Esta liquidación fue recurrida ante el Tribunal Económico-Administrativo Central (RG 3054/01; RS 278/01), quien por Resolución con fecha de 25-09-2001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1737-2001), quien tras declarar los autos conclusos u oír a las partes y al Ministerio Fiscal, acordó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18 de noviembre de 2004 la Sección Séptima de la Sala de lo Contencioso-Administrativo de la Audiencia Nacional acordó elevar a este Tribunal cuestión de inconstitucionalidad en relación con “el apartado 2.2.5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 y 31.1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2.2.5 del art. 66 Ley 13/2000, de 28 de</w:t>
      </w:r>
    </w:p>
    <w:p w:rsidRPr="00C21FFE" w:rsidR="00AD51A7" w:rsidRDefault="008777C4">
      <w:pPr>
        <w:rPr/>
      </w:pPr>
      <w:r w:rsidRPr="&lt;w:rPr xmlns:w=&quot;http://schemas.openxmlformats.org/wordprocessingml/2006/main&quot;&gt;&lt;w:lang w:val=&quot;es-ES_tradnl&quot; /&gt;&lt;/w:rPr&gt;">
        <w:rPr/>
        <w:t xml:space="preserve">diciembre, de presupuestos generales del Estado para el año 2001,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suscitadas por el órgano judicial ya han sido resueltas en los AATC 207/2005, de 10 de mayo (cuestión núm. 2369-2004 en relación con el apartado 2.2.4) y 222/2005, de 24 de mayo (cuestión núm. 2677 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7881-2004 planteada por la Sección Séptima de la Sala de lo Contencioso-Administrativo de la Audiencia Nacional en el recurso núm. 1737-2001.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