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noviembre de 2005 ha tenido entrada en el Registro General de este Tribunal Constitucional un escrito de la Sección Primera de la Sala de lo Contencioso-Administrativo del Tribunal Superior de Justicia de Extremadura al que se acompaña, junto con el testimonio del correspondiente procedimiento (procedimiento ordinario núm. 895-2004), el Auto de la referida Sala de 31 de octubre de 2005 mediante el que se acuerda elevar a este Tribunal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Consejería de Economía, Industria y Comercio de la Junta de Extremadura giró a don Felipe Blanco Conejero una propuesta de liquidación provisional, en concepto de Impuesto sobre el suelo sin edificar y edificaciones ruinosas, por un importe de 2.149,12 €. Presentadas las correspondientes alegaciones en relación con dicha propuesta fueron desestimadas. Interpuesto recurso de reposición con fecha de 2 de julio de 2003, por Resolución de la Dirección General de Ingresos de la citada Consejería de fecha 13 de agosto de 2003 se desestima.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238-2003) ante la Junta Económico-Administrativa de la Junta de Extremadura, ésta fue desestimada por Resolución de 14 de mayo de 2004.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895-2004) ante la Sala de lo Contencioso-Administrativo del Tribunal Superior de Justicia de Extremadura. Admitido y tramitado el recurso, y una vez conclusos los autos, el día 28 de septiembre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31 de octubre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tal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son frecuentes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se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el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2006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 de febrero de 2006, en el que, tras exponer brevemente los antecedentes de la cuestión, pone de manifiesto que el objeto de la presente cuestión de inconstitucionalidad es idéntico al de otras muchas planteadas por el mismo Tribunal Superior de Justicia de Extremadura que han sido inadmitidas a trámite por carecer notoriamente de fundamento, en los términos en que esta expresión ha sido entendida por este Tribunal (ATC 417/2005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 Extremadura 9/1998, de 26 de junio, del Impuesto sobre suelo sin edificar y edificaciones ruinosas, por si pudiera ser contraria al art. 6.3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Auto en el que este Tribunal ha considerado que la citada cuestión se encontraba notoriamente infundada, en los términos en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8237-2005, planteada por la Sección Primera de la Sala de lo Contencioso-Administrativo del Tribunal Superior de Justicia de Extremadura sobre la Ley de la Asamblea de Extremadura 9/1998, de 26</w:t>
      </w:r>
    </w:p>
    <w:p w:rsidRPr="" w:rsidR="00AD51A7" w:rsidRDefault="008777C4">
      <w:pPr>
        <w:rPr/>
      </w:pPr>
      <w:r w:rsidRPr="&lt;w:rPr xmlns:w=&quot;http://schemas.openxmlformats.org/wordprocessingml/2006/main&quot;&gt;&lt;w:szCs w:val=&quot;24&quot; /&gt;&lt;/w:rPr&gt;">
        <w:rPr/>
        <w:t xml:space="preserve">de junio, del 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