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24 de abril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13 de septiembre de 2002 tuvo entrada en el Registro General del Tribunal Constitucional escrito del Procurador de los Tribunales don Isacio Calleja García en nombre y representación de don Hans Dietwer Schwab, por el que se interpone recurso de amparo contra el Auto dictado por la Sala Contencioso-Administrativo del Tribunal Superior de Justicia de Andalucía en Sevilla, en fecha 11 de julio de 2002, en el incidente de nulidad interpuesto por el recurrente en amparo en el recurso contencioso-administrativo 1316/1994, sobre sanción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abril de 2006 el Magistrado don Jorge Rodríguez-Zapata Pérez comunica a la Sala que ha formado parte de la Sala de lo Contencioso-Administrativo del Tribunal Supremo que resolvió el recurso de casación núm. 2710/97, y manifiesta el citado Magistrado la voluntad de abstenerse del conocimiento del recurso de amparo núm. 5184-2002, al concurrir la causa 219.11ª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Conforme al art. 80 LOTC en relación con el art. 219.11 LOPJ es causa de abstención haber resuelto el pleito o causa en anterior instancia. Dado que el Magistrado don Jorge Rodríguez-Zapata Pérez ha participado en la resolución de recurso de</w:t>
      </w:r>
    </w:p>
    <w:p w:rsidRPr="00C21FFE" w:rsidR="00AD51A7" w:rsidRDefault="008777C4">
      <w:pPr>
        <w:rPr/>
      </w:pPr>
      <w:r w:rsidRPr="&lt;w:rPr xmlns:w=&quot;http://schemas.openxmlformats.org/wordprocessingml/2006/main&quot;&gt;&lt;w:lang w:val=&quot;es-ES_tradnl&quot; /&gt;&lt;/w:rPr&gt;">
        <w:rPr/>
        <w:t xml:space="preserve">casación núm. 2710/97, que declaró no haber lugar a los recursos de casación interpuestos contra la Sentencia la Sección Segunda de la Sala de lo Contencioso-Administrativo del Tribunal Superior de Justicia de Andalucía (sede de Sevilla) de fecha 5 de</w:t>
      </w:r>
    </w:p>
    <w:p w:rsidRPr="00C21FFE" w:rsidR="00AD51A7" w:rsidRDefault="008777C4">
      <w:pPr>
        <w:rPr/>
      </w:pPr>
      <w:r w:rsidRPr="&lt;w:rPr xmlns:w=&quot;http://schemas.openxmlformats.org/wordprocessingml/2006/main&quot;&gt;&lt;w:lang w:val=&quot;es-ES_tradnl&quot; /&gt;&lt;/w:rPr&gt;">
        <w:rPr/>
        <w:t xml:space="preserve">diciembre de 1996 dictada en el recurso contencioso-administrativo núm. 1316/94, debe entenderse justificada la abstención formulada en su escrito de 19 de abril de 2006.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causa de abstención formulada por el Excmo. Sr. Magistrado don Jorge Rodríguez-Zapata Pérez en el amparo núm. 5184-2002 y apartarle definitivamente del conocimiento del referido recurso y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