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1123/99),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1123/99 interpuesto por “Iberdrola, S.A.” ante la Sala de lo Contencioso-Administrativo del Tribunal Superior de Justicia de Extremadura, contra la Resolución de la Junta económico-administrativa regional de Extremadura de fecha de 26 de abril de 1999, que desestima la reclamación (núm. 6/98) interpuesta contra la Resolución del Jefe de servicio de gestión tributaria e ingresos de la Consejería de Economía, Industria y Hacienda de 1 de octubre de 1998, por la que se desestima la petición de devolución de la cantidad ingresada como consecuencia de la declaración-liquidación presentada por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entenderse hecha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recayendo sobre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