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218</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4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23 de febrero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843-2001), el Auto de la referida Sala de 8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núm. 843-2001 interpuesto por “Iberdrola, S.A.” ante la Sala de lo Contencioso-Administrativo del Tribunal Superior de Justicia de Extremadura, contra la Resolución de la Junta económico-administrativa regional de Extremadura de fecha de 25 de abril de 2001, que desestima la reclamación (núm. 937-2000) interpuesta contra la Resolución del Jefe de Servicio de gestión tributaria e ingresos de la Consejería de Economía, Industria y Hacienda de 3 de octubre de 2000, por la que se desestima la petición de devolución de la cantidad ingresada como consecuencia de la declaración-liquidación presentada por el Impuesto extremeño sobre Instalaciones que incidan en el medio ambiente correspondiente al ejercicio 2000. Admitido y tramitado el citado recurso, y una vez conclusos los autos, el día 29 de noviembre de 2004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Pr="00C21FFE" w:rsidR="00AD51A7" w:rsidRDefault="008777C4">
      <w:pPr>
        <w:rPr/>
      </w:pPr>
      <w:r w:rsidRPr="&lt;w:rPr xmlns:w=&quot;http://schemas.openxmlformats.org/wordprocessingml/2006/main&quot;&gt;&lt;w:lang w:val=&quot;es-ES_tradnl&quot; /&gt;&lt;/w:rPr&gt;">
        <w:rP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Tercera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escrito registrado en este Tribunal el día 31 de octubre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11 de noviembre de 2005 presentó su escrito de alegaciones don Salvador Mateos Sánchez,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artículo 6.3 de la Ley Orgánica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 Extremadura plantea, por medio de Auto de 8 de febrero de 2005,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7/1997, de 29 de mayo, de normas fiscales sobre producción y transporte de energía que incidan sobre el medio ambiente, por si pudiera ser contraria al art. 6.3 de la Ley Orgánica 8/1980, de 22 de septiembre, de financiación de las</w:t>
      </w:r>
    </w:p>
    <w:p w:rsidRPr="00C21FFE" w:rsidR="00AD51A7" w:rsidRDefault="008777C4">
      <w:pPr>
        <w:rPr/>
      </w:pPr>
      <w:r w:rsidRPr="&lt;w:rPr xmlns:w=&quot;http://schemas.openxmlformats.org/wordprocessingml/2006/main&quot;&gt;&lt;w:lang w:val=&quot;es-ES_tradnl&quot; /&gt;&lt;/w:rPr&gt;">
        <w:rPr/>
        <w:t xml:space="preserve">Comunidades Autónomas (LOFCA),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1223-2005,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