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342-2002),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342-2002 interpuesto por “Iberdrola Generación, S.A.” ante la Sala de lo Contencioso-Administrativo del Tribunal Superior de Justicia de Extremadura, contra la Resolución de la Junta Económico-Administrativa Regional de Extremadura de fecha 18 de febrero de 2002, que desestima la reclamación (núm. 127-2001) interpuesta contra la Resolución de la Consejería de Economía, Industria y Comercio de la Junta de Extremadura con fecha de 16 de octubre de 2001 por la que se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10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1345-2005,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