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1124/99),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1124/99 interpuesto por “Unión Eléctrica Fenosa, S.A.” ante la Sala de lo Contencioso-Administrativo del Tribunal Superior de Justicia de Extremadura, contra la Resolución de la Junta Económico-Administrativa Regional de Extremadura de fecha 26 de abril de 1999, desestimatoria de la reclamación (núm. 5/98) interpuesta contra la Resolución de la Dirección General de Ingresos de la Consejería de Economía, Industria y Comercio de la Junta de Extremadura con fecha de 1 de octubre de 1998, que desestima la petición de devolución de ingresos indebidos planteada en relación con el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14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1795-2005,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