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junio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1765-2003), el Auto de la referida Sala de 2 de junio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1765-2003 interpuesto por “Retevisión Móvil, S.A.” ante la Sala de lo Contencioso-Administrativo del Tribunal Superior de Justicia de Extremadura, contra la Resolución de la Junta Económico-Administrativa Regional de Extremadura de fecha 8 de octubre de 2003, desestimatoria de la reclamación (núm. 323-2002) interpuesta contra la Resolución de la Dirección General de Ingresos de la Consejería de Economía, Industria y Comercio de la Junta de Extremadura que desestima el recurso interpuesto contra la sanción impuesta en concepto de Impuesto extremeño sobre instalaciones que incidan en el medio ambiente correspondiente a los ejercicios 2000 y 2001. Admitido y tramitado el citado recurso, y una vez conclusos los autos, el día 11 de abril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2 de junio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4414-2005,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