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775-2001), el Auto de la referida Sala de 13 de diciembre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775-2001 interpuesto por “Endesa Generación, S.A., S.U.” ante la Sala de lo Contencioso-Administrativo del Tribunal Superior de Justicia de Extremadura, contra la Resolución de la Junta Económico-Administrativa Regional de Extremadura de fecha de 6 de abril de 2001, desestimatoria de la reclamación (núm. 926-2000) interpuesta contra la Resolución de la Dirección General de Ingresos de la Consejería de Economía, Industria y Comercio de la Junta de Extremadura con fecha de 3 de octubre de 2000 que desestima la solicitud de devolución de ingresos indebidos en relación con el Impuesto extremeño sobre instalaciones que incidan en el medio ambiente correspondiente al ejercicio 2000. Admitido y tramitado el citado recurso, y una vez conclusos los autos, el día 24 de noviembre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enero de 2006,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44, de 21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15 de febrero de 2006 se recibió una comunicación del Presidente del Senado, en el sentido de que se tuviera a dicha Cámara por personada en el procedimiento y por ofrecida su colaboración a los efectos del art. 88.1 LOTC. Posteriormente, por escrito registrado el 23 de febrero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23 de febrero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el día 18 de febrero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3 de marzo de 2006,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10 de marzo de 2006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13 de diciembre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233-2006,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