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enero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1688-2003), el Auto de la referida Sala de 14 de diciembre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1688-2003 interpuesto por “Iberdrola Generación, S.A.” ante la Sala de lo Contencioso-Administrativo del Tribunal Superior de Justicia de Extremadura, contra la Resolución de la Junta Económico-Administrativa Regional de Extremadura de fecha de 8 de octubre de 2003, desestimatoria de la reclamación (núm. 352-2002) interpuesta contra la Resolución de la Dirección General de Ingresos de la Consejería de Economía, Industria y Comercio de la Junta de Extremadura con fecha de 30 de octubre de 2002 que desestima la petición de devolución de ingresos indebidos planteada con relación al Impuesto extremeño sobre Instalaciones que incidan en el medio ambiente correspondiente al ejercicio 2002. Admitido y tramitado el citado recurso, y una vez conclusos los autos, el día 9 de noviembre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febrero de 2006,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50, de 28 de febrero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6 de marzo de 2006,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el día 9 de marzo siguiente se recibió una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23 de febrero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el día 2 de marzo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3 de marzo de 2006, doña Caridad Domínguez Perals, Letrada de la Asamblea de Extremadura, en nombre y representación de la misma, evacuó el trámite de alegaciones solicitando se declare que la Ley 7/1997, de 29 de mayo,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22 de marzo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14 de diciembre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549-2006,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