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enero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461-2004), el Auto de la referida Sala de 12 de enero de 2006,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461-2004 interpuesto por “Naturener, S.A.” ante la Sala de lo Contencioso-Administrativo del Tribunal Superior de Justicia de Extremadura, contra la Resolución de la Junta Económico-Administrativa Regional de Extremadura de fecha de 13 de febrero de 2004, desestimatoria de la reclamación (núm. 250-2003) interpuesta contra la liquidación núm. 8012010013086 girada por la Dirección General de Ingresos de la Consejería de Economía, Industria y Comercio de la Junta de Extremadura con fecha de 30 de septiembre de 2003 en concepto de Impuesto extremeño sobre instalaciones que incidan en el medio ambiente correspondiente a los ejercicios 1998, 1999, 2000 y 2001. Admitido y tramitado el citado recurso, y una vez conclusos los autos, el día 15 de diciembre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febrero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61, de 13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15 de marzo de 2006 se recibió una comunicación del Presidente del Senado, en el sentido de que se tuviera a dicha Cámara por personada en el procedimiento y por ofrecida su colaboración a los efectos del art. 88.1 LOTC. Posteriormente, el día 21 de marzo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10 de marzo de 2006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día 23 de marzo de 2006,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evacuó el trámite conferido mediante escrito registrado el día 23 de marzo de 2006,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24 de marzo de 2006 presentó su escrito de alegaciones don Fernando Cintas Espinal,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12 de enero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875-2006,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