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febrero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203-2004), el Auto de la referida Sala de 17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203-2004 interpuesto por “Retevisión Móvil, S.A.” ante la Sala de lo Contencioso-Administrativo del Tribunal Superior de Justicia de Extremadura, contra la Resolución de la Junta Económico-Administrativa Regional de Extremadura de fecha de 12 de diciembre de 2003, desestimatoria de la reclamación (núm. 193-2003) interpuesta contra la liquidación núm. 8013010015421 girada por la Dirección General de Ingresos de la Consejería de Economía, Industria y Comercio de la Junta de Extremadura en concepto de Impuesto extremeño sobre instalaciones que incidan en el medio ambiente correspondiente al ejercicio 2002. Admitido y tramitado el citado recurso, y una vez conclusos los autos, el día 31 de octubre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76, de 30 de marzo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30 de marzo de 2006 se recibió una comunicación del Presidente del Senado, en el sentido de que se tuviera a dicha Cámara por personada en el procedimiento y por ofrecida su colaboración a los efectos del art. 88.1 LOTC. Posteriormente, el día 31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24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 de abril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evacuó el trámite conferido mediante escrito registrado el día 5 de abril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7 de abril de 2006, don Francisco Javier Ciriero Soleto, Letrado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17 de enero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1376-2006,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