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26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junio de 2006 se registró en este Tribunal escrito del Presidente de la Sala de lo Social del Tribunal Superior de Justicia de Canarias al que se adjuntaba testimonio del rollo de suplicación núm. 721-2005 y del Auto de 21 de diciembre de 2005,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se plantea en los mismos términos que la cuestión núm. 4831-2002, promovida también por el Tribunal Superior de Justicia de Canarias mediante Auto cuyo contenido se transcribe literalmente en el que ha dado lugar a las presentes actuaciones. Así, tras exponer con detalle los avatares de la evolución del régimen normativo de la enseñanza de la religión católica en los centros públicos y la disciplina canónica observada por la Iglesia en materia docente,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AD51A7" w:rsidRDefault="008777C4">
      <w:pPr>
        <w:rPr/>
      </w:pPr>
      <w:r w:rsidRPr="&lt;w:rPr xmlns:w=&quot;http://schemas.openxmlformats.org/wordprocessingml/2006/main&quot;&gt;&lt;w:lang w:val=&quot;es-ES_tradnl&quot; /&gt;&lt;/w:rPr&gt;">
        <w:rPr/>
        <w:t xml:space="preserve">A juicio de la Sala de lo Social del Tribunal Superior de Justicia de Canarias la Declaración Eclesiástica de Idoneidad (DEI) necesaria para la contratación de los profesores de religión no puede concederse o denegarse sin otra referencia que la propia del Derecho canónico, sino que debe ser compatible con los derechos fundamentales del trabajador, en cuyo respeto tiene que encontrar un límite insuperable. Sin embargo del art. III del Acuerdo con la Santa Sede sobre Educación y asuntos culturales se desprende que la decisión eclesiástica sobre el particular únicamente ha de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AD51A7" w:rsidRDefault="008777C4">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resultante de la Disposición adicional segunda de la Ley Orgánica 1/1990 (LOGSE), en la redacción dada por la Ley 50/1998, en conjunción con los arts. III, VI y VII del Acuerdo con la Santa Sede. Para la Sala se deriva de esa conjunción que el acceso a empleos públicos y su mantenimiento resulten determinados exclusivamente por un sujeto ajeno a la Administración Pública (el Obispado) y sometido únicamente a un Derecho externo e indisponible por los órganos judiciales nacionales (el Derecho canónico).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diligencia de 13 de junio de 2006 la Secretaria de Justicia del Pleno hizo constar que por la Sala de lo Social del Tribunal Superior de Justicia de Canarias se ha indicado, telefónicamente, que en el recurso de suplicación núm. 721-2005 no se oyó a las partes ni al Ministerio Fiscal sobre la pertinencia de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2006 la Sección Tercera, a los efectos que determina el art. 37.1 LOTC, acordó oír al Fiscal General del Estado para que, en el plazo de diez días, alegara lo que estimase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4 de julio de 2006. Con cita del ATC 238/2002, de 26 de noviembre, el Fiscal General recuerda que la audiencia de las partes y del Ministerio Fiscal ex art. 35.2 LOTC es un requisito esencial de procedibilidad. Además la remisión a la fundamentación jurídica de otros Autos de planteamiento dictados por la misma Sección confiere a la presente una cierta naturaleza abstracta, pues no se refieren los antecedentes del litigio planteado en el proceso a quo. </w:t>
      </w:r>
    </w:p>
    <w:p w:rsidRPr="00C21FFE" w:rsidR="00AD51A7" w:rsidRDefault="008777C4">
      <w:pPr>
        <w:rPr/>
      </w:pPr>
      <w:r w:rsidRPr="&lt;w:rPr xmlns:w=&quot;http://schemas.openxmlformats.org/wordprocessingml/2006/main&quot;&gt;&lt;w:lang w:val=&quot;es-ES_tradnl&quot; /&gt;&lt;/w:rPr&gt;">
        <w:rPr/>
        <w:t xml:space="preserve">En consecuencia el Fiscal General del Estado interesa la inadmisión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ha planteado sin observar el trámite de audiencia prescrito en el art. 35.2 LOTC, lo que, como recuerda el Fiscal General del Estado, sólo puede conducir a su inadmisión.</w:t>
      </w:r>
    </w:p>
    <w:p w:rsidRPr="00C21FFE" w:rsidR="00AD51A7" w:rsidRDefault="008777C4">
      <w:pPr>
        <w:rPr/>
      </w:pPr>
      <w:r w:rsidRPr="&lt;w:rPr xmlns:w=&quot;http://schemas.openxmlformats.org/wordprocessingml/2006/main&quot;&gt;&lt;w:lang w:val=&quot;es-ES_tradnl&quot; /&gt;&lt;/w:rPr&gt;">
        <w:rPr/>
        <w:t xml:space="preserve">Entre las condiciones procesales exigidas por nuestra Ley Orgánica para la tramitación de una cuestión de inconstitucionalidad figura el trámite audiencia a las partes del proceso del que la cuestión dimana y al Ministerio Fiscal para que puedan alegar sobre la pertinencia de su planteamiento (art. 35.2 LOTC). Con dicho trámite, como tenemos repetido,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y según consta acreditado en las actuaciones, el órgano judicial que eleva la cuestión ha incumplido de manera absoluta el requisito de la previa audiencia de las partes, cuyo parecer no ha podido ser tenido en cuenta por el propio órgano judicial a los fines de conformar los términos de la duda de constitucionalidad que finalmente ha decidido plantearnos. Con ello, además, y como advierte el Fiscal General del Estado, se subraya el marcado carácter abstracto que ya de suyo ofrece la duda desarrollada por el órgano judicial en su Auto de planteamiento, que se limita a reproducir la fundamentación jurídica de otro Auto que ha dado lugar a la admisión de una cuestión sustancialmente idéntica, pero sin hacer referencia alguna a las circunstancias particulares del proceso judicial del cual resulta la que ahora quiere plantearse, lo que hace imposible contrastar la efectiva concurrencia de otros de los requisitos de procedibilidad inexcusables, cual es el de la aplicabilidad al caso de los preceptos que pretenden cuestionarse y su carácter determinante para el sentido del fallo que haya de acordarse en el proceso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cuestión de inconstitucionalidad núm. 6172-2006.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