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320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25 de septiembre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diciembre de 2004 don Josheba Miren Sainz de la Higuera expresó su deseo de recurrir en amparo la Sentencia 214/2004 de la Sección Segunda de la Audiencia Provincial de Navarra, de 9 de mayo de 2004 (rollo de apelación 54-2004), en la que se estimaba el recurso interpuesto por la acusación particular contra la dictada por el Juzgado de lo Penal 3 de Pamplona en procedimiento abreviado 416-2003, condenando al recurrente como autor responsable de un delito de falsificación de documentos privados, a la pena de un año y tres meses de prisión, accesoria de inhabilitación especial para el ejercicio del derecho de sufragio pasivo durante el tiempo de la condena, con imposición de las costas causadas en la instancia, incluyendo las de la acusación particular, declarando de oficio las costas de la apelación. </w:t>
      </w:r>
    </w:p>
    <w:p w:rsidRPr="00C21FFE" w:rsidR="00AD51A7" w:rsidRDefault="008777C4">
      <w:pPr>
        <w:rPr/>
      </w:pPr>
      <w:r w:rsidRPr="&lt;w:rPr xmlns:w=&quot;http://schemas.openxmlformats.org/wordprocessingml/2006/main&quot;&gt;&lt;w:lang w:val=&quot;es-ES_tradnl&quot; /&gt;&lt;/w:rPr&gt;">
        <w:rPr/>
        <w:t xml:space="preserve">Tras la realización de los trámites oportunos, se tuvo por designados del turno de oficio al Procurador don Norberto Pablo Jerez Fernández y al Abogado don Francisco Manuel Lama Marín, formalizándose la demanda el 14 de abril de 2005. En la misma se sostiene que la referida resolución judicial ha vulnerado los derechos fundamentales del recurrente a la defensa, a un proceso con todas las garantías y a la presunción de inocencia, todos ellos garantizados por 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junio de 2006 la Sala Segunda de este Tribunal acordó admitir a trámite el presente recurso de amparo y formar la correspondiente pieza para la tramitación del incidente de suspensión, de conformidad con lo solicitado por la parte actora, concediendo un plazo común de tres días a la parte recurrente y al Ministerio Fiscal para que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recurrente presenta su escrito de alegaciones el 7 de julio de 2006 interesando la suspensión de la pena privativa de libertad, haciendo notar que el cumplimiento de la corta duración de la pena impuesta podría producirse incluso antes de que este Tribunal resolviera sobre el fondo del asunto, provocando daños irreparables en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misma fecha el Fiscal presenta su escrito de alegaciones, en el que interesa que se acuerde la suspensión de la pena privativa de la libertad y de la pena accesoria impuesta, y se deniegue su pretensión en todo lo demás. Recordando los criterios utilizados por el Tribunal Constitucional en el ATC 265/2003, de 15 de julio, se estima que, en caso de no accederse a la suspensión de la pena privativa de libertad, la eventual concesión del amparo podría resultar inútil. La suspensión debe alcanzar, por ser tal la doctrina consolidada de este Tribunal, a la pena accesoria de inhabilitación especial para el ejercicio de sufragio pasivo. No ocurre lo mismo con la imposición de las costas procesales de la primera instancia, porque, dado que estamos ante un pronunciamiento de carácter meramente económico, su ejecución no causa, en principio, perjuicios irreparables y por lo demás, en la hipótesis del otorgamiento del amparo, es susceptible de restitución íntegra.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Ley Orgánica que regula este Tribunal,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 la resolución, acto o disposición impugnados,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a ello ha de añadirse que este Tribunal, al pronunciarse sobre la suspensión solicitada,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sea tardío e impida definitivamente que la restauración sea efectiva (entre otros muchos, AATC 243/2000, de 16 de octubre; 251/2000, de 30 de octubre; 63/2001, de 26 de marzo, y 170/2001, de 22 de junio)” (ATC 198/2006, de 19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general reseñada al caso presente conduce a acordar la suspensión interesada de la pena privativa de libertad de un año y tres meses de prisión, prevista en la Sentencia de la Audiencia Provincial de Navarra de 9 de noviembre de 2004, dado que, de no suspenderse, podría ocasionar un perjuicio irreparable, toda vez que, como ya hemos declarado en anteriores ocasiones (por todas: AATC 530/2004, de 20 de diciembre y 84/2002, de 20 de mayo), estando comprendida la duración total de la condena dentro de la posible duración de la tramitación del presente recurso, previsiblemente dicha pena se habría cumplido ya en su totalidad en el momento del fallo, lo que hace que, conforme también declarábamos en las ocasiones anteriormente mencionadas, los intereses generales asociados a la ejecución de toda sentencia penal, en lo que a privación de libertad se refiere, resulten en este caso debilitados.</w:t>
      </w:r>
    </w:p>
    <w:p w:rsidRPr="00C21FFE" w:rsidR="00AD51A7" w:rsidRDefault="008777C4">
      <w:pPr>
        <w:rPr/>
      </w:pPr>
      <w:r w:rsidRPr="&lt;w:rPr xmlns:w=&quot;http://schemas.openxmlformats.org/wordprocessingml/2006/main&quot;&gt;&lt;w:lang w:val=&quot;es-ES_tradnl&quot; /&gt;&lt;/w:rPr&gt;">
        <w:rPr/>
        <w:t xml:space="preserve">La suspensión implicará, paralelamente, la de las penas accesorias de suspensión de cargo público, profesión u oficio y derecho de sufragio durante el tiempo que dure la condena, al seguir la misma suerte que la pena principal a la que acompañan (ATC 256/2003, de 14 de julio de 2003, FJ 2), por lo procede acordar la suspensión de la pena accesoria referida a la pena de inhabilitación especial para el ejercicio del derecho de sufragio pasivo durante el tiempo de la condena.</w:t>
      </w:r>
    </w:p>
    <w:p w:rsidRPr="00C21FFE" w:rsidR="00AD51A7" w:rsidRDefault="008777C4">
      <w:pPr>
        <w:rPr/>
      </w:pPr>
      <w:r w:rsidRPr="&lt;w:rPr xmlns:w=&quot;http://schemas.openxmlformats.org/wordprocessingml/2006/main&quot;&gt;&lt;w:lang w:val=&quot;es-ES_tradnl&quot; /&gt;&lt;/w:rPr&gt;">
        <w:rPr/>
        <w:t xml:space="preserve">Sin embargo, no podemos adoptar el mismo criterio en lo referido al pago de las costas causadas en la instancia, incluyendo las de la acusación particular, puesto que dicho pronunciamiento presenta naturaleza exclusivamente económica. Debemos recordar que “este Tribunal ha declarado que la ejecución de las Sentencias o de resoluciones en general, cuyos efectos son fundamentalmente patrimoniales o de contenido económico normalmente, ni causa un perjuicio irreparable al obligado al pago por la resolución judicial, ni puede hacer perder al amparo su finalidad,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65/1999, 56/2004 y 179/2004, por todos).</w:t>
      </w:r>
    </w:p>
    <w:p w:rsidRPr="00C21FFE" w:rsidR="00AD51A7" w:rsidRDefault="008777C4">
      <w:pPr>
        <w:rPr/>
      </w:pPr>
      <w:r w:rsidRPr="&lt;w:rPr xmlns:w=&quot;http://schemas.openxmlformats.org/wordprocessingml/2006/main&quot;&gt;&lt;w:lang w:val=&quot;es-ES_tradnl&quot; /&gt;&lt;/w:rPr&gt;">
        <w:rPr/>
        <w:t xml:space="preserve">No obstante lo cual el Tribunal ha acordado excepcionalmente la suspensión en aquellos supuestos en los que el pago era susceptible de ocasionar perjuicios irreparables, atendidos el monto de la cantidad adeudada y las circunstancias del obligado al pago (en relación con dichos criterios, entre otros, AATC 6/1996, 109/1997, 361/1997 y 379/1997). Así sucede, singularmente, en aquellos supuestos en que la ejecución de la resolución judicial impugnada puede afectar a la estabilidad económica de una entidad recurrente, o le exija, por falta de liquidez, la asunción de una carga financiera insoportable (AATC 165/1993 y 13/1999). En tales casos corresponde acreditar el carácter efectivamente irreparable del perjuicio al solicitante de amparo, “quien, además de alegar, debe probar o, por lo menos, justificar, ofreciendo un principio razonable de prueba, la irreparabilidad o dificultad de la reparación de los perjuicios de seguirse la ejecución del acto impugnado” (ATC 56/2004, FJ 3)” (ATC 216/2005, de 23 de mayo, FJ 2).</w:t>
      </w:r>
    </w:p>
    <w:p w:rsidRPr="00C21FFE" w:rsidR="00AD51A7" w:rsidRDefault="008777C4">
      <w:pPr>
        <w:rPr/>
      </w:pPr>
      <w:r w:rsidRPr="&lt;w:rPr xmlns:w=&quot;http://schemas.openxmlformats.org/wordprocessingml/2006/main&quot;&gt;&lt;w:lang w:val=&quot;es-ES_tradnl&quot; /&gt;&lt;/w:rPr&gt;">
        <w:rPr/>
        <w:t xml:space="preserve">Ninguna indicación se hace, en esta dirección, en el escrito de alegaciones presentado por el recurrente, que solamente se centra en la eventual suspensión de la pena privativa de libertad, por lo que procede, en aplicación de la doctrina constitucional reseñada, denegar la suspensión de la condena en costas operada por la Sentencia de la Audiencia Provincial de Navarra de 9 de noviembre de 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núm 214/2004, de la Sección Segunda de la Audiencia Provincial de Navarra de 9 de noviembre de 2004, recaída en el rollo de apelación núm 54-2004, interesada por don Josheba Miren Sainz de la Higuera y Gartzia en el</w:t>
      </w:r>
    </w:p>
    <w:p w:rsidRPr="" w:rsidR="00AD51A7" w:rsidRDefault="008777C4">
      <w:pPr>
        <w:rPr/>
      </w:pPr>
      <w:r w:rsidRPr="&lt;w:rPr xmlns:w=&quot;http://schemas.openxmlformats.org/wordprocessingml/2006/main&quot;&gt;&lt;w:szCs w:val=&quot;24&quot; /&gt;&lt;/w:rPr&gt;">
        <w:rPr/>
        <w:t xml:space="preserve">recurso de amparo 7758-2004, exclusivamente en lo relativo a las penas privativas de libertad y accesoria de suspensión del derecho de sufragio pasivo durante el tiempo de la condena del recurrente, denegando la suspensión solicitada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septiembre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