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septiembre de 2004 se registró en el Tribunal Constitucional la demanda de amparo presentada en representación de don Jesús Perez Díaz y doña María Rosa Salcedo Sanz por el Procurador de los Tribunales don Angel Martín Gutiérrez contra el Auto de 1 de septiembre de 2004 del Juzgado de Primera Instancia núm. 4 de Arganda del Rey (Madrid) dictado en el procedimiento de juicio verbal núm. 122-2001 para aprobar la tasación de costas, por vulneración del derecho a la defensa y a la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la Sala Segunda de este Tribunal de 1 de junio de 2006 se acordó, de conformidad con lo dispuesto en el art. 50.3 LOTC, conceder al demandante de amparo y al Ministerio Fiscal el plazo común de diez días para que formularan, con las aportaciones documentales procedentes, alegaciones en relación con la carencia manifiesta de contenido constitucional de la demanda (art. 50.1 CE LOTC). </w:t>
      </w:r>
    </w:p>
    <w:p w:rsidRPr="00C21FFE" w:rsidR="00AD51A7" w:rsidRDefault="008777C4">
      <w:pPr>
        <w:rPr/>
      </w:pPr>
      <w:r w:rsidRPr="&lt;w:rPr xmlns:w=&quot;http://schemas.openxmlformats.org/wordprocessingml/2006/main&quot;&gt;&lt;w:lang w:val=&quot;es-ES_tradnl&quot; /&gt;&lt;/w:rPr&gt;">
        <w:rPr/>
        <w:t xml:space="preserve">Por escrito registrado el 21 de junio de 2006 los demandantes de amparo se ratificaron en la demanda. </w:t>
      </w:r>
    </w:p>
    <w:p w:rsidRPr="00C21FFE" w:rsidR="00AD51A7" w:rsidRDefault="008777C4">
      <w:pPr>
        <w:rPr/>
      </w:pPr>
      <w:r w:rsidRPr="&lt;w:rPr xmlns:w=&quot;http://schemas.openxmlformats.org/wordprocessingml/2006/main&quot;&gt;&lt;w:lang w:val=&quot;es-ES_tradnl&quot; /&gt;&lt;/w:rPr&gt;">
        <w:rPr/>
        <w:t xml:space="preserve">El 28 de junio de 2006 el Ministerio Fiscal registró escrito en el que interesaba la admisión a trámite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de 2006 la Sala Segunda de este Tribunal acordó la admisión a trámite de la demanda y formar la correspondiente pieza separada de suspensión, concediendo de conformidad con el art. 56 LOTC, un plazo común de tres días al Ministerio Fiscal y a la parte recurrente para que realizasen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29 de septiembre de 2006 la parte recurrente reiteró la suspensión solicitada alegando que la empresa que reclama las costas a los recurrentes en amparo no tardará en extinguirse resultando difícil y costoso pedir la devolución de lo que tienen que abonar a quienes fueron socios de dicha empresa. Se alegó igualmente que la suspensión solicitada evitaría dos procesos paralelos, el ejecutivo en el Juzgado civil, donde se había solicitado ya una “barbaridad de intereses” y, simultáneamente el proceso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5 de octubre de 2006 el Ministerio Fiscal interesó la denegación de la suspensión solicitada. Tras recordar la doctrina constitucional sobre la materia y que el art. 56 LOTC responde a criterios racionales de equilibrio entre los intereses del recurrente, los generales de la sociedad y los derechos de terceros, manifestó que resulta claro que en materia de solicitudes de suspensión de resoluciones judiciales que afectan intereses patrimoniales el criterio es el de la no suspensión, porque en principio no se causan perjuicios irreparables, por más que puedan producir efectos desfavorables al demandante en amparo, sin que concurran en el presente como supuestos excepcionales en los que la ejecución de lo acordado acarrea perjuicios patrimoniales difícilmente reparables por su entidad, por la imposibilidad de repercutir su costo o por la irreversibilidad de las situaciones jurídicas que puedan producirse, no habiendo ofrecido justificación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y 99/1998),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nos ocupa ni los demandantes justifican cumplidamente la existencia de perjuicio irreparable alguno, ni concurre ninguna de las circunstancias expuestas para acordar la suspensión interesada como excepción a la regla general de improcedencia de suspensión en materia de perjuicios de contenido económico, tal y como advierte el Ministerio Fiscal.</w:t>
      </w:r>
    </w:p>
    <w:p w:rsidRPr="00C21FFE" w:rsidR="00AD51A7" w:rsidRDefault="008777C4">
      <w:pPr>
        <w:rPr/>
      </w:pPr>
      <w:r w:rsidRPr="&lt;w:rPr xmlns:w=&quot;http://schemas.openxmlformats.org/wordprocessingml/2006/main&quot;&gt;&lt;w:lang w:val=&quot;es-ES_tradnl&quot; /&gt;&lt;/w:rPr&gt;">
        <w:rPr/>
        <w:t xml:space="preserve">En efecto, como se ha dicho, es doctrina constitucional la de que corresponde al demandante de amparo justificar cumplidamente que el no otorgamiento de la suspensión le ocasionaría un perjuicio irreparable que haría perder al amparo su finalidad y en el presente caso en el plazo de alegaciones otorgado al efecto los demandantes de amparo se limitan a aportar una nota simple del Registro Mercantil sobre el objeto social de la empresa que les reclama las costas y a argumentar que ya les han pedido una “barbaridad de intereses” en el procedimiento ejecutivo, pero sin acreditar los mismos, ni ninguno de los términos exigidos por este Tribunal, es decir, que su cuantía les acarrearía perjuicios económicos difícilmente reparables por su entidad, o la irreversibilidad de las situaciones jurídicas, manifestando únicamente hipótesis no confrontadas en torno a una supuesta y futura dificultad para recobrar lo abonado.</w:t>
      </w:r>
    </w:p>
    <w:p w:rsidRPr="00C21FFE" w:rsidR="00AD51A7" w:rsidRDefault="008777C4">
      <w:pPr>
        <w:rPr/>
      </w:pPr>
      <w:r w:rsidRPr="&lt;w:rPr xmlns:w=&quot;http://schemas.openxmlformats.org/wordprocessingml/2006/main&quot;&gt;&lt;w:lang w:val=&quot;es-ES_tradnl&quot; /&gt;&lt;/w:rPr&gt;">
        <w:rPr/>
        <w:t xml:space="preserve">Y como hemos dicho de modo reiterado, el recurrente no puede ser beneficiado con la suspensión cuando no razona adecuadamente, ni justifica de manera alguna que la falta de suspensión haría perder al amparo su finalidad, ni proporciona alegaciones y pruebas que justifiquen la prevalencia del interés en la suspensión sobre el que ampara el cumplimiento de las Sentencias (ATC 123/1983, de 23 de marzo), lo que impide definitivamente aceptar la suspensión al no darse los requisitos establecidos en 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