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octubre de 2004 tuvo entrada en el Registro de este Tribunal escrito firmado por la Procuradora de los Tribunales doña Katiuska Marín Martín, en representación de Catalana Occidente, sociedad anónima de seguros y reaseguros, en virtud del cual interponía recurso de amparo contra el Auto de 31 de julio de 2004 de la Sección Primera de la Audiencia Provincial de Málaga que desestimó el incidente de nulidad de actuaciones interpuesto por la demandante de amparo contra la Sentencia de 20 de febrero de 2004 que, estimando la petición contenida en la adhesión a la apelación, condenó a quien había sido declarado absuelto como autor de una falta de lesiones imprudentes y desestimó el recurso de apelación planteado por la actora, manteniendo las indemnizaciones acordadas “en las cantidades concedidas en la resolución de instancia, cuyos restantes pronunciamientos condenatorios a efectos civiles se mantienen de forma expresa y en su integridad”. </w:t>
      </w:r>
    </w:p>
    <w:p w:rsidRPr="00C21FFE" w:rsidR="00AD51A7" w:rsidRDefault="008777C4">
      <w:pPr>
        <w:rPr/>
      </w:pPr>
      <w:r w:rsidRPr="&lt;w:rPr xmlns:w=&quot;http://schemas.openxmlformats.org/wordprocessingml/2006/main&quot;&gt;&lt;w:lang w:val=&quot;es-ES_tradnl&quot; /&gt;&lt;/w:rPr&gt;">
        <w:rPr/>
        <w:t xml:space="preserve">En la Sentencia de instancia se condenó a la entidad recurrente “a que indemnice en cuanto responsable civil directo a don Salvador Valverde García en la cantidad de ciento ochenta y tres mil ciento ochenta y tres con cuarenta y ocho euros (183.183,48 Euros) por los daños y perjuicios sufridos, más los intereses correspondientes previstos en el art. 20 LCS, y de igual manera a que indemnice a la Fraternidad Muprespa en la cantidad de veintidos mil ochocientos noventa y cuatro con veintiún euros (22.894,21 Euros) por los gastos por ésta satisfechos en concepto de atención médica, quirúrgica y recuperacional del Sr. Valverde García, y ello, con los intereses correspondientes. Y todo ello con el abono de las costas originadas, si las hubiere”. </w:t>
      </w:r>
    </w:p>
    <w:p w:rsidRPr="00C21FFE" w:rsidR="00AD51A7" w:rsidRDefault="008777C4">
      <w:pPr>
        <w:rPr/>
      </w:pPr>
      <w:r w:rsidRPr="&lt;w:rPr xmlns:w=&quot;http://schemas.openxmlformats.org/wordprocessingml/2006/main&quot;&gt;&lt;w:lang w:val=&quot;es-ES_tradnl&quot; /&gt;&lt;/w:rPr&gt;">
        <w:rPr/>
        <w:t xml:space="preserve">Por medio de otrosí se solicita en la demanda la suspensión de la ejecución de la Sentencia impugnada, porque su ejecución le originaría un “singular perjuicio económico, seguramente irrecuperable”, lo que determinaría que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 de octubre de 2006 la Sala Segunda decidió admitir a trámite el presente recurso de amparo, acordando asimismo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16 de octubre de 2006 la recurrente presentó escrito en el que insiste en la “singular vulnerabilidad constitucional” de la condena previa contra la que actúa, a lo que “se une la insolvencia -que nos consta de manera inconcusa- por cuanto se refiere al principal beneficiado por las disposiciones jurisdiccionales que tenemos impugnadas […], lo que en un futuro va a suponernos con toda seguridad un imposible recobro […]”. Señala, además, que la Entidad recurrente tiene depositadas las sumas que le permitirán hacer frente a la condena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16 de octubre de 2006, tras recordar la doctrina constitucional al respecto, considera que la demandante de amparo en “su solicitud de suspensión se limita a invocar genéricos perjuicios irreparables, sin concretarlos ni justificarlos” y que “aunque la cuantía de la condena no es desdeñable, no tiene una gran relevancia para una compañía de seguros y reaseguros, atendiendo al volumen de su negocio, ni parece que objetivamente pueda causarle un perjuicio irreparable”. A lo que añade que, “aunque de la adopción de la medida cautelar no resulta perjuicio para el interés público, sí afecta a terceros ya que se trata de una indemnización a un particular por las lesiones sufridas en un accidente de circulación, del que resultó con importantes secuelas”.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hay que destacar que todas las penas recurridas tienen un estricto contenido económico, por lo que les resulta aplicable la doctrina recogida en el último párrafo del fundamento jurídico anterior. En efecto, pese a la cuantía de las sumas consideradas ha de tenerse en cuenta que la obligada al pago es una sociedad anónima de seguros y reaseguros con importante volumen de negocios, que en la demanda se limita a señalar, como argumento del carácter irreversible de los daños que la ejecución le produciría, el que el singular perjuicio económico sería “seguramente irrecuperable”, añadiendo, en el específico incidente de suspensión, que le consta la insolvencia del principal beneficiado; todo ello, sin embargo, sin aportar dato o justificación algunos que avalen ninguna de sus afirmaciones. Por otra parte, ha de valorarse, como subraya el Ministerio Fiscal, que en defecto de un interés público inmediato, que vaya más allá del de garantizar el cumplimiento de las resoluciones judiciales, es lo cierto que en el presente caso concurre el legítimo interés directo del tercero perjudicado en la ejecución de lo resuelto judicialmente. En tales circunstancias, hemos de concluir que no procede la suspensión de las resoluciones judiciales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6416-2004, promovido por Catalana Occidente, sociedad anónima de seguros y reaseguros.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