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430</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21 de noviembre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10 de mayo de 2006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512-2005), el Auto de la referida Sala de 9 de mayo de 2006, mediante el que se acuerda elevar a este Tribunal cuestión de inconstitucionalidad respecto de la Ley de la Asamblea de Extremadura 7/1997, de 29 de marzo,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512-2005 interpuesto por “Naturener, S.A.” ante la Sala de lo Contencioso-Administrativo del Tribunal Superior de Justicia de Extremadura, contra las Resoluciones de la Junta Económico-Administrativa Regional de Extremadura de fecha de 12 de octubre de 2003, desestimatorias de la reclamaciones (núms. 174-2003 y 175-2003) interpuestas contra la liquidación núm. 8013010015123 de la Dirección General de Ingresos de la Consejería de Economía, Industria y Comercio de la Junta de Extremadura relativa al Impuesto extremeño sobre instalaciones que incidan en el medio ambiente correspondiente al ejercicio 2002, y contra la Resolución del expediente sancionador núm. 3210003 por infracción tributaria grave con relación al citado impuesto y ejercicio. Admitido y tramitado el citado recurso, y una vez conclusos los autos, el día 6 de abril de 2006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marzo,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4 de julio de 2006, la Sección Segunda de este Tribunal acordó, a los efectos que determina el art. 37.1 LOTC, oír al Fiscal General del Estado para que, en el plazo de diez días, alegase lo que considerase conveniente acerca de la admisibilidad de la presente cuestión de inconstitucionalidad, por si hubiese perdido su objeto (STC 179/2006, de 13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13 de julio de 2006, interesando de este Tribunal que se dicte auto declarando la pérdida de objeto de la presente la cuestión de inconstitucionalidad con fundamento en que es idéntica a la registrada con el núm. 1219-2005, que ha sido resuelta en sentido estimatorio por la STC 179/2006, de 13 de junio, publicada en el BOE de 7 de julio siguiente, en la que se declaraba inconstitucional y nula la Ley de la Asamblea de Extremadura 7/1997, de 29 de mayo.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9 de mayo de 2006, una cuestión de inconstitucionalidad respecto de la Ley de la Asamblea de Extremadura 7/1997, de 29 de mayo, de normas fiscales sobre producción y transporte de energía que incidan sobre el medio ambiente, por si pudiera ser contraria al art. 6.3 de la Ley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5633-2006,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