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121-2003) interpuesto por la mercantil Promociones Nadima SL contra la resolución del Ayuntamiento de Hellín (Albacete) por la que se acuerda no proceder a la devolución de las cantidades ingresadas por la misma y representativas del 10 por 100 del aprovechamiento urbanístico que la empresa debe ceder para que le sea concedida licencia de obra de nueva planta. Conclusas las actuaciones se dictó Auto de 16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w:t>
      </w:r>
    </w:p>
    <w:p w:rsidRPr="00C21FFE" w:rsidR="00AD51A7" w:rsidRDefault="008777C4">
      <w:pPr>
        <w:rPr/>
      </w:pPr>
      <w:r w:rsidRPr="&lt;w:rPr xmlns:w=&quot;http://schemas.openxmlformats.org/wordprocessingml/2006/main&quot;&gt;&lt;w:lang w:val=&quot;es-ES_tradnl&quot; /&gt;&lt;/w:rPr&gt;">
        <w:rPr/>
        <w:t xml:space="preserve">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9506-2005,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