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26 de diciembre de 2005, al que se acompaña el correspondiente Auto de 16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135-2003) interpuesto por la mercantil Belén Viviendas de Protección Oficial, S.A.,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26 de diciembre de 2003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las Cortes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10 de abril de 2006, solicitando que se le tuviera por personado y parte en nombre del Gobierno y que se dictase en su día Sentencia estimatoria de la cuestión, declarando inconstitucionales y nulos los arts. 51.1.2 e) y 69.2.a.2 de la Ley de las Cortes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19 de abril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24 de abril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17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9507-2005,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