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207-2002) interpuesto por la mercantil A.S.C. Obras Urbanas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 de enero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