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22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483-1999) interpuesto por la mercantil Finestrat Urbana SL contra la resolución del Ayuntamiento de Albacete por la que se requiere a la empresa al pago del importe económico representativo del 10 por 100 del aprovechamiento urbanístico que debe ceder para que le sea concedida licencia de obra de nueva planta. Conclusas las actuaciones se dictó Auto de 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