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23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128-2001) interpuesto por la Unión Temporal de Empresas Construcciones Pérez Zafrilla, S.A., y Atrio Albacete, S.L, contra la desestimación del recurso de reposición planteado en relación con la Resolución del Ayuntamiento de Albacete por la que se requiere a ambas empresas al pago del importe económico representativo del 10 por 100 del aprovechamiento urbanístico que la empresa debe ceder para que le sea concedida licencia de obra de nueva planta. Conclusas las actuaciones se dictó Auto de 11 de abril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10 de mayo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602-2006,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