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219-2003) interpuesto por la mercantil Promociones Bizmancha 2005,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6 de mayo de 2004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31 de marzo de 2006, solicitando que se le tuviera por personado y parte en nombre del Gobierno y que se dictase en su día Sentencia estimatoria de la cuestión, declarando inconstitucionales y nulos los arts. 51.1.2 e) y 69.2.a.2, y 71.3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767-2006,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