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140</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27 de enero de 2006, al que se acompaña el correspondiente Auto de 18 de noviembre de 2005, el Juzgado de lo Contencioso- 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 administrativo (tramitado con el núm. 344-2000) interpuesto por la mercantil Uscorcart SL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23 de mayo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14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letras d) y e); art. 69, apartado 2 y art. 71.3 en cuanto resulta relacionado con el 69, todos ellos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marzo de 2006 (BOE de 30 de marzo),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Presidente del Senado, mediante escrito registrado el día 30 de marzo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su escrito de alegaciones el día 4 de abril de 2006, solicitando que se le tuviera por personado y parte en nombre del Gobierno y que se dictase en su día Sentencia estimatoria de la cuestión, declarando inconstitucionales y nulos los arts. 51.1.2 e) y 69.2.a.2, y 71.3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31 de marzo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5 de abril de 2006 el Fiscal General del Estado formuló sus alegaciones interesando de este Tribunal Constitucional la estimación de la cuestión de inconstitucionalidad por entender que era idéntica a la 8450/2005, dando por reproducidos los fundamentos expuestos en aquella.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12 de abril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Mediante escrito registrado en el Tribunal el día 12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1 de Albacete plantea cuestión de inconstitucionalidad en relación con los arts. 51.1.2 d) y e), 69.2 y 71.3 de la Ley de las Cortes de Castilla-La Mancha 2/1998, de 4 de junio, de ordenación del territorio y de la actuación urbanística, por posible vulneración del art. 149.1.1 CE. La presente cuestión de inconstitucionalidad es idéntica a la núm. 8450-2005 resuelta recientemente por este Tribunal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820-2006,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