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12 de diciembre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101/2004) interpuesto por Urbana y Desarrollos Alfaro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Por providencia de 29 de marzo de 2004 se acordó la suspensión de las actuaciones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29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825-2006,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