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9/2003) interpuesto por la mercantil Edificio Calderón II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15 de mayo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