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8 de febrero de 2006, al que se acompaña el correspondiente Auto de 16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453/2000) interpuesto por Argamason San Isidro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10 de septiembre de 2001 en virtud del cual quedaban en suspenso en cuanto al plazo establecido para dictar Sentencia hasta tanto no se resolviera el recurso de inconstitucionalidad núm. 3958/98,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artículos 51 apartado 1.2, letras d) y e); artículo 69, apartado 2 y artículo 71.3 en cuanto resulta relacionado con el 69, todos ellos de la Ley de Castilla-La Mancha 2/1998, de 4 de junio, de ordenación del territorio y de la actuación urbanística, por posible vulneración del artículo 149.1.1 CE en relación con el artículo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27 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discutidos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afectados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71.3, en cuanto se conecte con los apartados a) 2 y 3 del artículo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1200-2006,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