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4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 de febrero de 2005, doña María del Ángel Sanz Amaro, Procuradora de los Tribunales, en nombre de don Juan Manuel Martín Espinosa, interpuso recurso de amparo contra el Auto del Juzgado de lo Social núm. 3 de Murcia, recaído el 2 de diciembre de 2004, dictado en autos de despido núm. 177-2004, ejecución núm. 164-2004.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hecho de la pretensión del demandante son los siguientes: </w:t>
      </w:r>
    </w:p>
    <w:p w:rsidRPr="00C21FFE" w:rsidR="00AD51A7" w:rsidRDefault="008777C4">
      <w:pPr>
        <w:rPr/>
      </w:pPr>
      <w:r w:rsidRPr="&lt;w:rPr xmlns:w=&quot;http://schemas.openxmlformats.org/wordprocessingml/2006/main&quot;&gt;&lt;w:lang w:val=&quot;es-ES_tradnl&quot; /&gt;&lt;/w:rPr&gt;">
        <w:rPr/>
        <w:t xml:space="preserve">a) En el Juzgado de lo Social núm. 3 de Murcia se sigue ejecución núm. 164-2004 dimanante del proceso de despido seguido a instancia de un trabajador contra Ferrallas Carthago, S.L., y don Juan Manuel Martín Espinosa, que terminó con Sentencia estimatoria de fecha 24 de mayo de 2004. </w:t>
      </w:r>
    </w:p>
    <w:p w:rsidRPr="00C21FFE" w:rsidR="00AD51A7" w:rsidRDefault="008777C4">
      <w:pPr>
        <w:rPr/>
      </w:pPr>
      <w:r w:rsidRPr="&lt;w:rPr xmlns:w=&quot;http://schemas.openxmlformats.org/wordprocessingml/2006/main&quot;&gt;&lt;w:lang w:val=&quot;es-ES_tradnl&quot; /&gt;&lt;/w:rPr&gt;">
        <w:rPr/>
        <w:t xml:space="preserve">b) En fase de ejecución de Sentencia el recurrente en amparo formuló incidente de nulidad de actuaciones, solicitando se acordase la nulidad de todo lo actuado en el proceso hasta la citación por edictos, alegando su derecho a la tutela judicial efectiva sin indefensión (art. 24.1 CE). El Auto de 2 de diciembre de 2004 desestimó la pretensión anulatoria.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art. 24.1 CE, que el demandante de amparo considera lesionado al no haber sido emplazado personalmente, sino mediante edictos, a pesar de que su domicilio era conocido por el actor en el proceso. Aduce, asimismo, que el órgano judicial incurrió en falta de imparcialidad, al no dar respuesta a las alegaciones formuladas y producirle indefensión, infringiendo igualmente el art. 6.1 del Convenio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noviembre de 2006 la Sección Segunda de este Tribunal acordó la admisión a trámite de la demanda de amparo así como, a tenor de lo establecido en el art. 51 LOTC, requerir al Juzgado de lo Social núm. 3 de Murcia para que emplazara a quienes fueron parte en el procedimiento, con excepción del recurrente en amparo, para que en el plazo de diez días pudieran comparecer en el recurso de amparo,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20 de diciembre de 2006, el recurrente solicitó que se dejara en suspenso la ejecución de la resolución impugnada, de acuerdo con lo previsto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8 de enero de 2007 se acordó formar la correspondiente pieza separada de suspensión y, de conformidad con lo previsto en el art. 56 LOTC, conceder un plazo común de tres días al núm. de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25 de enero de 2007, el núm. de Fiscal se opone a la suspensión solicitada por entender que el demandante no acredita qué perjuicios irreparables causaría la no suspensión de la resolución impugnada, y afirmando que, en cualquier caso, el pronunciamiento judicial tiene un contenido exclusivamente pecuniario y, por tanto, susceptible de restitución integra.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formuló alegaciones el día 19 de enero de 2007, reiterando los contenidos de su escrito de solicitud de suspensión. Argumenta la situación de agobio económico y perjuicio moral, para él y su familia, que ha causado la resolución judicial que acuerda el embargo de su salario, adoptada en ejecución de Sentencia, así como que la suspensión de esa decisión de embargo no causaría perjuicio a terceros al ser el ejecutante el Fondo de garantía salarial, de suerte que la suspensión temporal del ingreso de módicas cantidades no supondría ningún perjuicio, al tratarse de la Administración, al contrario de lo que implica para una pequeña economía familiar como la suya, siendo como es el caso un obrero de la construcción.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230/2001, de 24 de julio, FJ 1; 171/2002, de 30 de septiembre, FJ 1; 413/2003, de 15 de diciembre, FJ 1; 530/2004, de 20 de diciembre, FJ 1, y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72/1997, de 10 de marzo, FJ 1; 145/2006, de 24 de abril, FJ 2, y 63/2007, de 26 de febrero, FJ 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FJ 1; 251/2000, de 30 de octubre, FJ 2; 63/2001, de 26 de marzo, FJ1, y 170/2001, de 22 de junio, FJ 1).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Tenemos dicho en ese sentido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(por todos, ATC 63/2007, de 26 de febrero, FJ 2). Sólo en aquellos supuestos en que con un principio de prueba la ejecución de lo acordado acarree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(por ejemplo, ATC 335/2005, de 15 de septiembre, FJ 2).  La aplicación de la doctrina general reseñada al presente caso conduce a denegar la medida cautelar solicitada, habida cuenta que el demandante no prueba los perjuicios que dice le causaría la no suspensión de la resolución impugnada, y que, además, de la providencia de 3 de octubre de 2006 que aporta se desprende que la cantidad embargada no se entrega exclusivamente al FOGASA, sino también al actor en el proceso de despido, quedando referida la queja, por lo demás, a decisiones de contenido exclusivamente pecuniario y, por tanto, susceptibles de restitución.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