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7 de marzo de 2003, al que se acompaña el correspondiente Auto de 26 de febrero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(1029/2002) interpuesta por don Javier Garrigós Barceló contra la empresa Great Value Task Force, SL. Conclusas las actuaciones, el Juez de lo Social dicta providencia de 7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el trabajador demandante informaron en el sentido de considerar procedente el planteamiento de la cuestión, mientras que la empresa demandada lo hizo en sentido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abril de 2003 (BOE de 17 de mayo)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16 de mayo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19 de mayo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23 de mayo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23 de mayo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1306-2003,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