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junio de 2006 tuvo entrada en el Juzgado de Guardia escrito firmado por la Procuradora de los Tribunales doña África Martín Rico, en representación de la mercantil Proiliberis, S.L., en virtud del cual interponía recurso de amparo contra el acto administrativo de notificación de la liquidación provisional núm. T5-1917, por importe de 1.189.846 pesetas, practicada en el expediente núm. 31503-1995 por la Delegación en Granada de la Consejería de Economía y Hacienda de la Junta de Andalucía por el concepto Impuesto sobre transmisiones patrimoniales y actos jurídicos documentados, y contra la Sentencia de la Sección Segunda de la Sala de lo Contencioso-Administrativo del Tribunal Superior de Justicia de Andalucía, de 8 de mayo de 2006, que desestima el recurso núm. 907-1999, interpuesto contra Resolución del Tribunal Económico-Administrativo Regional de Andalucía, Sala de Granada, de 25 de enero de 1999, que desestimó la reclamación económico-administrativa promovida contra la providencia de apremio relativa a la mencionada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del derecho a la tutela judicial efectiva de la demandante (art. 24.1 CE) como consecuencia de haberse notificado los actos de gestión del Impuesto sobre transmisiones patrimoniales y actos jurídicos documentados a persona distinta del sujeto pasivo, lo que ha supuesto para éste un obstáculo insalvable en orden al acceso a la jurisdicción en defensa de sus derechos. Por medio de Otrosí interesa la suspensión de la ejecución de los dos Autos recurridos “toda vez que la ejecución podría ocasionar un perjuicio a mi mandante que haría perder al amparo su finalidad”, sin que se produzca ningún perjuicio al interés público ni lesiones a los derechos y libertades públicas de un tercero. Señala, además, que la suspensión está garantizada con el aval bancario constituido en la vía económico-administrativa y mantenido en la vía judicial, que se encuentra depositado en la Tesorería General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providencias de 12 de junio de 2007 la Sala Segunda decidió admitir a trámite el presente recurso de amparo, y, asimismo, acordó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25 de junio de 2007, la recurrente reiteró los argumentos expuestos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28 de junio de 2007, tras recordar la doctrina constitucional al respecto, considera que debe denegarse la suspensión, pues, al tratarse de una condena de contenido económico (el pago en vía de apremio de 7.151,12 euros), los perjuicios anejos a su ejecución son perfectamente reparables en caso de otorgarse el amparo. Este criterio se ve confirmado por el dato añadido de que la empresa recurrente no subviene a la carga que le asiste de acreditar los graves quebrantos que, según dice, le causa el cumplimiento de lo resuelto, sino que, al contrario, se limita a pedir la suspensión, sin añadir ninguna razón que la justifique.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art. 56 LOTC (en la redacción dada por la Ley Orgánica 6/2007, de 24 de mayo), en su apartado 1, establezca que la interposición del recurso de amparo no suspenderá los efectos del acto o sentencia impugnados, añade en su apartado 2 la previsión de que puede disponerse la suspensión total o parcial de sus efectos, cuando su ejecución produzca un perjuicio al recurrente que pudiera hacer perder al amparo su finalidad, y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Consecuentemente, la regla general —tal como aparece recogida actualmente en el art. 56.1 LOTC— debe ser la improcedencia de la suspensión, por la perturbación de la función jurisdiccional que la misma supone, excepto que el recurrente acredite suficientemente la irreparabilidad que para sus derechos fundamentales pudiera tener la ejecución, privando al amparo de su finalidad, y siempre que la suspensión no produzca las perturbaciones graves a las que se refiere el art. 56.2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se puede señalar que, en su demanda, la recurrente se limita a alegar, en síntesis, que la ejecución puede ocasionarle un perjuicio que haría perder al amparo su finalidad, pero ni concreta en qué consistiría ese perjuicio ni acredita específicamente que la cantidad que está obligada, en principio, a pagar sea una cantidad que, por su importancia cuantitativa, le pueda causar graves quebrantos o perjuicios que no pudiera reparar el eventual otorgamiento del amparo; acreditación que este Tribunal viene exigiendo de manera constante para exceptuar la aplicación de la regla general de no suspensión de la ejecución de los efectos meramente económicos de las resoluciones judiciales. Por lo demás, el montante de la cantidad cuyo pago se le reclama (7.151,12 euros) no permite augurar que su eventual ejecución derive en un efectivo perjuicio irreparable para la entidad demandante.  Por tanto, versando todo el litigio sobre una liquidación tributaria, de estricto contenido económico, resulta aplicable la doctrina recogida en el último párrafo del fundamento jurídico anterior, debiendo entenderse que los perjuicios anejos a su ejecución serían perfectamente reparables, si se otorgase el amparo, al tiempo que se ha de reafirmar el interés público en el cumplimiento de las resoluciones judiciales, lo que nos lleva a concluir que no procede la suspensión de las resoluciones impugnadas. Esta conclusión no resulta alterada por el hecho de que la obligación tributaria de la actora se encuentre garantizada mediante aval depositado ante la Tesorería General de la Junta de Andalucía, que no es un dato que permita por sí solo, y de acuerdo con las previsiones del art. 56 LOTC, obtener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6130-2006, promovido por Proiliberis,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