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abril de 2007 tuvo entrada en el Registro de este Tribunal un escrito de la Sección Cuarta de la Sala de lo Contencioso-Administrativo del Tribunal Superior de Justicia de Cataluña, al que se acompaña, junto al testimonio del correspondiente procedimiento, Auto de 12 de febrero de 2007, dictado en el recurso contencioso-administrativo núm. 1166-2003,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4 de septiembre de 2003 recurso contencioso-administrativo contra la Resolución de la Dirección General de la Policía de 21 de julio de 2003, por la que se acuerda su pase a la situación de segunda actividad por cumplimiento de la edad reglamentaria de 56 años. Dicho recurso dio lugar al procedimiento núm. 1166-2003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12 de diciembre de 2006,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22 de diciembre de 2006,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25 de enero de 2007,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por escrito registrado el 9 de enero de 2007,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12 de febrero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5 de junio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3 de julio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de 24 de julio de 2007,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24 de julio de 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