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julio de 2007 tuvo entrada en el Registro de este Tribunal un escrito de la Sección Cuarta de la Sala de lo Contencioso-Administrativo del Tribunal Superior de Justicia de Cataluña, al que se acompaña, junto al testimonio del correspondiente procedimiento, Auto de 29 de mayo de 2007, dictado en el recurso contencioso-administrativo núm. 1625-2003,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15 de diciembre de 2003 recurso contencioso-administrativo contra la Resolución de la Dirección General de la Policía de 15 de septiembre de 2003, por la que se acuerda su pase a la situación de segunda actividad por cumplimiento de la edad reglamentaria de 56 años. Dicho recurso dio lugar al procedimiento núm. 1625-2003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13 de abril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27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7 de mayo de 2007,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29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su parecer de que no se cumple el presupuesto del necesario juicio de relevancia, toda vez que lo que se cuestiona realmente es el acto aplicativo de la norma, más que la norma en sí mismo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concurre la carencia manifiesta de fundamento, toda vez que, partiendo de la doctrina consolidada del Tribuna Constitucional sobre el particular, no cabe duda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w:t>
      </w:r>
    </w:p>
    <w:p w:rsidRPr="00C21FFE" w:rsidR="00AD51A7" w:rsidRDefault="008777C4">
      <w:pPr>
        <w:rPr/>
      </w:pPr>
      <w:r w:rsidRPr="&lt;w:rPr xmlns:w=&quot;http://schemas.openxmlformats.org/wordprocessingml/2006/main&quot;&gt;&lt;w:lang w:val=&quot;es-ES_tradnl&quot; /&gt;&lt;/w:rPr&gt;">
        <w:rPr/>
        <w:t xml:space="preserve">septiembre, por la que se regula la situación de segunda actividad en el Cuerpo Nacional de Policía, en la redacción dada por el art. 58 de la Ley 24/2001, de 27 de diciembre, de medidas fiscales, administrativas y del orden social, por posible</w:t>
      </w:r>
    </w:p>
    <w:p w:rsidRPr="00C21FFE" w:rsidR="00AD51A7" w:rsidRDefault="008777C4">
      <w:pPr>
        <w:rPr/>
      </w:pPr>
      <w:r w:rsidRPr="&lt;w:rPr xmlns:w=&quot;http://schemas.openxmlformats.org/wordprocessingml/2006/main&quot;&gt;&lt;w:lang w:val=&quot;es-ES_tradnl&quot; /&gt;&lt;/w:rPr&gt;">
        <w:rPr/>
        <w:t xml:space="preserve">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En efecto, como se destaca en dicho Auto, no cabe apreciar un supuesto trato discriminatorio entre Inspectores Jefes a derivar del momento de cumplimiento de los 56 años, ya que, trayendo causa, exclusivamente, en una modificación legislativa, sin embargo, este Tribunal ya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