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6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día 14 de mayo de 2003, la Letrada de la Junta de Andalucía, en la representación que legalmente ostenta, promueve conflicto positivo de competencias contra los arts. 7 y 8 de la Orden de 20 de enero de 2003, del Ministerio de Agricultura, Pesca y Alimentación, por la que se regula el ejercicio de la actividad pesquera con arte de almadraba y la concesión de las licencias.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competencias por providencia de la Sección Segunda del Tribunal Constitucional de 3 de junio de 2003, el Abogado del Estado formuló sus alegaciones mediante escrito registrado el día 23 de junio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27 de septiembre de 2007, la Letrada de la Junta de Andalucía presenta en este Tribunal Constitucional un escrito en el que expone que, debidamente autorizada en virtud del Acuerdo del Consejo de Gobierno de aquélla de 18 de septiembre de 2007, solicita tener por desistido a dicho Consejo de Gobierno en el presente conflicto positivo de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9 de octubre de 2007, acordó incorporar a los autos el escrito presentado por la representación legal del Consejo de Gobierno de la Junta de Andalucía y oír al Abogado del Estado en relación con la solicitud de desistimiento formulada en dicho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octubre de 2007, el Abogado del Estado dirigió un escrito al Tribunal Constitucional en el que manifiesta que no se opone a la solicitud de desistimiento formulada.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43/2004, de 10 de febrero, 416/2005, de 22 de noviembre; 163/2006, de 9 de mayo; 168/2006, de 23 de</w:t>
      </w:r>
    </w:p>
    <w:p w:rsidRPr="00C21FFE" w:rsidR="00AD51A7" w:rsidRDefault="008777C4">
      <w:pPr>
        <w:rPr/>
      </w:pPr>
      <w:r w:rsidRPr="&lt;w:rPr xmlns:w=&quot;http://schemas.openxmlformats.org/wordprocessingml/2006/main&quot;&gt;&lt;w:lang w:val=&quot;es-ES_tradnl&quot; /&gt;&lt;/w:rPr&gt;">
        <w:rPr/>
        <w:t xml:space="preserve">mayo, 48/2007, de 13 de febrero, 71/2007, de 27 de febrero y 198/2007, de 27 de marzo).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de aquélla,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del conflicto positivo de competencias número 3175-2003, promovido por el Consejo de Gobierno de la Junta de Andalucía en relación con los arts. 7 y 8</w:t>
      </w:r>
    </w:p>
    <w:p w:rsidRPr="" w:rsidR="00AD51A7" w:rsidRDefault="008777C4">
      <w:pPr>
        <w:rPr/>
      </w:pPr>
      <w:r w:rsidRPr="&lt;w:rPr xmlns:w=&quot;http://schemas.openxmlformats.org/wordprocessingml/2006/main&quot;&gt;&lt;w:szCs w:val=&quot;24&quot; /&gt;&lt;/w:rPr&gt;">
        <w:rPr/>
        <w:t xml:space="preserve">de la Orden de 20 de enero de 2003, del Ministerio de Agricultura, Pesca y Alimentación, por la que se regula el ejercicio de la actividad pesquera con arte de almadraba y la concesión de las licencias,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