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septiembre de 2006, el Procurador de los Tribunales don José Luís Pinto Marabotto, en nombre y representación de don Fermín Martínez Nantón, presentó en el Registro General de este Tribunal demanda de amparo contra la Sentencia de 19 de julio de 2006 del Juzgado de lo Contencioso-Administrativo núm. 4 de A Coruña, recaída en el procedimiento abreviado núm. 106-2006 sobre infracción de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aduce en la demanda de amparo la lesión de su derecho fundamental a la tutela judicial efectiva sin indefensión (art. 24.1 CE) producido por la Sentencia impugnada, que confirmó la sanción impuesta a pesar de su falta de motivación y de que en el procedimiento administrativo sancionador no se respetaron algunos de los trámites esenciales del mismo. Además, la lesión del derecho fundamental reconocido en el art. 24.1 CE se habría producido porque la Sentencia impugnada habría incurrido en incongruencia omisiva al no pronunciarse sobre la alegada inadmisión de las pruebas propuestas. En la demanda de amparo se aduce, asimismo, la lesión del derecho fundamental del recurrente a la utilización de los medios de prueba pertinentes para la defensa (art. 24.2 CE), porque fueron inadmitidas las pruebas propuestas, concretamente, se inadmitió un certificado del Ente público Portos de Galicia. Por último, se aduce en la demanda de amparo la infracción del principio de legalidad en materia sancionadora (art. 25.1 CE) por falta de tipificación de la infracción imputada en el precepto normativo indicado por la Administración durante todo el procedimiento sancionador, esto es, el art. 39.2.1 de la Ordenanza municipal de Laxe, que no existe en realidad. Una infracción del principio de legalidad que habría producido también el órgano judicial al declarar en la Sentencia impugnada que, si bien era cierto que los hechos no estaban tipificados por el art. 39 de la Ordenanza, sí lo estaban por el art. 44. 8 de la misma norma jurídica. </w:t>
      </w:r>
    </w:p>
    <w:p w:rsidRPr="00C21FFE" w:rsidR="00AD51A7" w:rsidRDefault="008777C4">
      <w:pPr>
        <w:rPr/>
      </w:pPr>
      <w:r w:rsidRPr="&lt;w:rPr xmlns:w=&quot;http://schemas.openxmlformats.org/wordprocessingml/2006/main&quot;&gt;&lt;w:lang w:val=&quot;es-ES_tradnl&quot; /&gt;&lt;/w:rPr&gt;">
        <w:rPr/>
        <w:t xml:space="preserve">Por otrosí, el recurrente solicitó la suspensión de la Sentencia impugnada en amparo con el fin de evitar daños y perjuicios de imposible 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enero de 2008 la Sección Primera de este Tribunal ordenó que se formase la presente pieza separada de suspensión, concediendo al demandante de amparo y al Ministerio Fiscal, conforme a lo dispuesto en el art. 56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31 de enero de 2008 se registró en este Tribunal el escrito de alegaciones del recurrente, en el que reitera su solicitud de suspensión de la Sentencia impugnada porque su ejecución haría inútil o baladí el amparo pretendido y porque, además, dicha suspensión no ocasiona perturbación grave a ningún interés constitucionalmente protegido ni a los derechos fundamentales o libertades de otras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presentado el 1 de febrero de 2008, interesando que se deniegue la suspensión solicitada. Recuerda el Ministerio Fiscal la doctrina reiterada de este Tribunal que deniega la suspensión de las resoluciones que permiten la restitución íntegra de lo ejecutado, como sucede con los pronunciamientos de efectos exclusivamente patrimoniales y, además, la escasa entidad económica de la multa impuesta (72 €) cuya suspensión se solicita, cuyo importe puede ser restituido íntegramente al demandante de amparo en caso de que el Tribunal otorgué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del art. 56.1 LOTC, en la redacción anterior a la establecida por la Ley Orgánica 6/2007, de 24 de mayo,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los perjuicios de carácter patrimonial o económico derivados de la resolución recurrida en amparo, hemos señalado que, por más que puedan producir efectos desfavorables en el demandante,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que nos ocupa no concurren ninguna de las circunstancias expuestas para acordar la suspensión interesada, toda vez que, como acertadamente pone de manifiesto el Ministerio Fiscal en sus alegaciones, el perjuicio por la condena al pago de 72 € es perfectamente reparable y, además, el recurrente no acredita la irreparabilidad de los supuestos perjuicios económicos que afirma que le ocasionaría la ejecución de la Sentencia recurrida, haciendo perder al recurso de amparo su finalidad en caso de que finalmente fuese estimado.</w:t>
      </w:r>
    </w:p>
    <w:p w:rsidRPr="00C21FFE" w:rsidR="00AD51A7" w:rsidRDefault="008777C4">
      <w:pPr>
        <w:rPr/>
      </w:pPr>
      <w:r w:rsidRPr="&lt;w:rPr xmlns:w=&quot;http://schemas.openxmlformats.org/wordprocessingml/2006/main&quot;&gt;&lt;w:lang w:val=&quot;es-ES_tradnl&quot; /&gt;&lt;/w:rPr&gt;">
        <w:rPr/>
        <w:t xml:space="preserve">No procede, en consecuencia, acceder a la suspensión interesada, pues no se acredita por el recurrente la existencia de daños irreversibles o de muy difícil reparación que impidan la efectividad de la restauración en el derecho fundamental vulnerado, en caso de un eventual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